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77</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AE0BD3" w:rsidRDefault="00F1605A" w:rsidP="00F1605A">
            <w:pPr>
              <w:bidi w:val="0"/>
              <w:jc w:val="right"/>
              <w:rPr>
                <w:rFonts w:ascii="Arial" w:hAnsi="Arial"/>
                <w:b/>
                <w:bCs/>
                <w:noProof w:val="0"/>
                <w:sz w:val="26"/>
                <w:szCs w:val="26"/>
                <w:rtl/>
              </w:rPr>
            </w:pPr>
            <w:r w:rsidRPr="00F1605A">
              <w:rPr>
                <w:rFonts w:ascii="Arial" w:hAnsi="Arial" w:hint="cs"/>
                <w:b/>
                <w:bCs/>
                <w:noProof w:val="0"/>
                <w:sz w:val="26"/>
                <w:szCs w:val="26"/>
                <w:u w:val="single"/>
                <w:rtl/>
              </w:rPr>
              <w:t>האיש</w:t>
            </w:r>
            <w:r>
              <w:rPr>
                <w:rFonts w:ascii="Arial" w:hAnsi="Arial" w:hint="cs"/>
                <w:b/>
                <w:bCs/>
                <w:noProof w:val="0"/>
                <w:sz w:val="26"/>
                <w:szCs w:val="26"/>
                <w:rtl/>
              </w:rPr>
              <w:t>:</w:t>
            </w:r>
          </w:p>
        </w:tc>
        <w:tc>
          <w:tcPr>
            <w:tcW w:w="5571" w:type="dxa"/>
            <w:gridSpan w:val="2"/>
          </w:tcPr>
          <w:p w:rsidR="002914D6" w:rsidRDefault="002914D6">
            <w:pPr>
              <w:rPr>
                <w:rFonts w:ascii="Arial" w:hAnsi="Arial"/>
                <w:b/>
                <w:bCs/>
                <w:noProof w:val="0"/>
                <w:sz w:val="26"/>
                <w:szCs w:val="26"/>
              </w:rPr>
            </w:pPr>
          </w:p>
          <w:p w:rsidR="002914D6" w:rsidRDefault="003064B2">
            <w:pPr>
              <w:rPr>
                <w:b/>
                <w:bCs/>
                <w:noProof w:val="0"/>
                <w:sz w:val="26"/>
                <w:szCs w:val="26"/>
                <w:rtl/>
              </w:rPr>
            </w:pPr>
            <w:r>
              <w:rPr>
                <w:rFonts w:ascii="Arial" w:hAnsi="Arial" w:hint="cs"/>
                <w:b/>
                <w:bCs/>
                <w:noProof w:val="0"/>
                <w:sz w:val="26"/>
                <w:szCs w:val="26"/>
                <w:rtl/>
              </w:rPr>
              <w:t>***</w:t>
            </w:r>
            <w:r w:rsidR="00011212">
              <w:rPr>
                <w:rFonts w:ascii="Arial" w:hAnsi="Arial" w:hint="cs"/>
                <w:b/>
                <w:bCs/>
                <w:noProof w:val="0"/>
                <w:sz w:val="26"/>
                <w:szCs w:val="26"/>
                <w:rtl/>
              </w:rPr>
              <w:t xml:space="preserve"> </w:t>
            </w:r>
            <w:r w:rsidR="00094813">
              <w:rPr>
                <w:rFonts w:ascii="Arial" w:hAnsi="Arial"/>
                <w:b/>
                <w:bCs/>
                <w:noProof w:val="0"/>
                <w:sz w:val="26"/>
                <w:szCs w:val="26"/>
                <w:rtl/>
              </w:rPr>
              <w:t>ת"ז</w:t>
            </w:r>
            <w:r w:rsidR="00011212">
              <w:rPr>
                <w:rFonts w:ascii="Arial" w:hAnsi="Arial" w:hint="cs"/>
                <w:b/>
                <w:bCs/>
                <w:noProof w:val="0"/>
                <w:sz w:val="26"/>
                <w:szCs w:val="26"/>
                <w:rtl/>
              </w:rPr>
              <w:t xml:space="preserve"> </w:t>
            </w:r>
          </w:p>
          <w:p w:rsidR="00F1605A" w:rsidRDefault="00F1605A">
            <w:pPr>
              <w:rPr>
                <w:b/>
                <w:bCs/>
                <w:noProof w:val="0"/>
                <w:sz w:val="26"/>
                <w:szCs w:val="26"/>
              </w:rPr>
            </w:pPr>
            <w:r>
              <w:rPr>
                <w:rFonts w:hint="cs"/>
                <w:b/>
                <w:bCs/>
                <w:noProof w:val="0"/>
                <w:sz w:val="26"/>
                <w:szCs w:val="26"/>
                <w:rtl/>
              </w:rPr>
              <w:t>ע"י ב"כ עו"ד זיסמן ועו"ד שני</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1605A" w:rsidP="00F1605A">
            <w:pPr>
              <w:rPr>
                <w:rFonts w:ascii="Arial" w:hAnsi="Arial"/>
                <w:b/>
                <w:bCs/>
                <w:noProof w:val="0"/>
                <w:sz w:val="26"/>
                <w:szCs w:val="26"/>
                <w:rtl/>
              </w:rPr>
            </w:pPr>
            <w:r w:rsidRPr="00F1605A">
              <w:rPr>
                <w:rFonts w:ascii="Arial" w:hAnsi="Arial" w:hint="cs"/>
                <w:b/>
                <w:bCs/>
                <w:noProof w:val="0"/>
                <w:sz w:val="26"/>
                <w:szCs w:val="26"/>
                <w:u w:val="single"/>
                <w:rtl/>
              </w:rPr>
              <w:t>האישה</w:t>
            </w:r>
            <w:r>
              <w:rPr>
                <w:rFonts w:ascii="Arial" w:hAnsi="Arial" w:hint="cs"/>
                <w:b/>
                <w:bCs/>
                <w:noProof w:val="0"/>
                <w:sz w:val="26"/>
                <w:szCs w:val="26"/>
                <w:rtl/>
              </w:rPr>
              <w:t>:</w:t>
            </w:r>
          </w:p>
          <w:p w:rsidR="00F1605A" w:rsidRDefault="00F1605A" w:rsidP="00F1605A">
            <w:pPr>
              <w:rPr>
                <w:rFonts w:ascii="Arial" w:hAnsi="Arial"/>
                <w:b/>
                <w:bCs/>
                <w:noProof w:val="0"/>
                <w:sz w:val="26"/>
                <w:szCs w:val="26"/>
                <w:rtl/>
              </w:rPr>
            </w:pPr>
          </w:p>
          <w:p w:rsidR="00F1605A" w:rsidRDefault="00F1605A" w:rsidP="00F1605A">
            <w:pPr>
              <w:rPr>
                <w:rFonts w:ascii="Arial" w:hAnsi="Arial"/>
                <w:b/>
                <w:bCs/>
                <w:noProof w:val="0"/>
                <w:sz w:val="26"/>
                <w:szCs w:val="26"/>
                <w:rtl/>
              </w:rPr>
            </w:pPr>
          </w:p>
          <w:p w:rsidR="00F1605A" w:rsidRDefault="00F1605A" w:rsidP="00F1605A">
            <w:pPr>
              <w:rPr>
                <w:rFonts w:ascii="Arial" w:hAnsi="Arial"/>
                <w:b/>
                <w:bCs/>
                <w:noProof w:val="0"/>
                <w:sz w:val="26"/>
                <w:szCs w:val="26"/>
              </w:rPr>
            </w:pPr>
            <w:r w:rsidRPr="00F1605A">
              <w:rPr>
                <w:rFonts w:ascii="Arial" w:hAnsi="Arial" w:hint="cs"/>
                <w:b/>
                <w:bCs/>
                <w:noProof w:val="0"/>
                <w:sz w:val="26"/>
                <w:szCs w:val="26"/>
                <w:u w:val="single"/>
                <w:rtl/>
              </w:rPr>
              <w:t>כונס הנכסים</w:t>
            </w:r>
            <w:r>
              <w:rPr>
                <w:rFonts w:ascii="Arial" w:hAnsi="Arial" w:hint="cs"/>
                <w:b/>
                <w:bCs/>
                <w:noProof w:val="0"/>
                <w:sz w:val="26"/>
                <w:szCs w:val="26"/>
                <w:rtl/>
              </w:rPr>
              <w:t>:</w:t>
            </w:r>
          </w:p>
        </w:tc>
        <w:tc>
          <w:tcPr>
            <w:tcW w:w="5571" w:type="dxa"/>
            <w:gridSpan w:val="2"/>
          </w:tcPr>
          <w:p w:rsidR="002914D6" w:rsidRDefault="002914D6">
            <w:pPr>
              <w:rPr>
                <w:rFonts w:ascii="Arial" w:hAnsi="Arial"/>
                <w:b/>
                <w:bCs/>
                <w:noProof w:val="0"/>
                <w:sz w:val="26"/>
                <w:szCs w:val="26"/>
                <w:rtl/>
              </w:rPr>
            </w:pPr>
          </w:p>
          <w:p w:rsidR="002914D6" w:rsidRDefault="003064B2">
            <w:pPr>
              <w:rPr>
                <w:rFonts w:ascii="Arial" w:hAnsi="Arial"/>
                <w:b/>
                <w:bCs/>
                <w:noProof w:val="0"/>
                <w:sz w:val="26"/>
                <w:szCs w:val="26"/>
                <w:rtl/>
              </w:rPr>
            </w:pPr>
            <w:r>
              <w:rPr>
                <w:rFonts w:ascii="Arial" w:hAnsi="Arial" w:hint="cs"/>
                <w:b/>
                <w:bCs/>
                <w:noProof w:val="0"/>
                <w:sz w:val="26"/>
                <w:szCs w:val="26"/>
                <w:rtl/>
              </w:rPr>
              <w:t>***</w:t>
            </w:r>
            <w:r w:rsidR="00011212">
              <w:rPr>
                <w:rFonts w:ascii="Arial" w:hAnsi="Arial" w:hint="cs"/>
                <w:b/>
                <w:bCs/>
                <w:noProof w:val="0"/>
                <w:sz w:val="26"/>
                <w:szCs w:val="26"/>
                <w:rtl/>
              </w:rPr>
              <w:t xml:space="preserve"> </w:t>
            </w:r>
            <w:r w:rsidR="00094813">
              <w:rPr>
                <w:rFonts w:ascii="Arial" w:hAnsi="Arial"/>
                <w:b/>
                <w:bCs/>
                <w:noProof w:val="0"/>
                <w:sz w:val="26"/>
                <w:szCs w:val="26"/>
                <w:rtl/>
              </w:rPr>
              <w:t>ת"ז</w:t>
            </w:r>
          </w:p>
          <w:p w:rsidR="00F1605A" w:rsidRDefault="00F1605A">
            <w:pPr>
              <w:rPr>
                <w:b/>
                <w:bCs/>
                <w:noProof w:val="0"/>
                <w:sz w:val="26"/>
                <w:szCs w:val="26"/>
                <w:rtl/>
              </w:rPr>
            </w:pPr>
            <w:r>
              <w:rPr>
                <w:rFonts w:hint="cs"/>
                <w:b/>
                <w:bCs/>
                <w:noProof w:val="0"/>
                <w:sz w:val="26"/>
                <w:szCs w:val="26"/>
                <w:rtl/>
              </w:rPr>
              <w:t>ע"י ב"כ עו"ד פיטרו ועו"ד לסקי</w:t>
            </w:r>
          </w:p>
          <w:p w:rsidR="00F1605A" w:rsidRDefault="00F1605A">
            <w:pPr>
              <w:rPr>
                <w:b/>
                <w:bCs/>
                <w:noProof w:val="0"/>
                <w:sz w:val="26"/>
                <w:szCs w:val="26"/>
                <w:rtl/>
              </w:rPr>
            </w:pPr>
          </w:p>
          <w:p w:rsidR="002914D6" w:rsidRDefault="00F1605A" w:rsidP="00F1605A">
            <w:pPr>
              <w:rPr>
                <w:b/>
                <w:bCs/>
                <w:noProof w:val="0"/>
                <w:sz w:val="26"/>
                <w:szCs w:val="26"/>
                <w:rtl/>
              </w:rPr>
            </w:pPr>
            <w:r>
              <w:rPr>
                <w:rFonts w:ascii="Arial" w:hAnsi="Arial" w:hint="cs"/>
                <w:b/>
                <w:bCs/>
                <w:noProof w:val="0"/>
                <w:sz w:val="26"/>
                <w:szCs w:val="26"/>
                <w:rtl/>
              </w:rPr>
              <w:t xml:space="preserve">עו"ד </w:t>
            </w:r>
            <w:r w:rsidR="00094813">
              <w:rPr>
                <w:rFonts w:ascii="Arial" w:hAnsi="Arial"/>
                <w:b/>
                <w:bCs/>
                <w:noProof w:val="0"/>
                <w:sz w:val="26"/>
                <w:szCs w:val="26"/>
                <w:rtl/>
              </w:rPr>
              <w:t xml:space="preserve">משה  יצחק </w:t>
            </w:r>
            <w:r>
              <w:rPr>
                <w:rFonts w:ascii="Arial" w:hAnsi="Arial"/>
                <w:b/>
                <w:bCs/>
                <w:noProof w:val="0"/>
                <w:sz w:val="26"/>
                <w:szCs w:val="26"/>
                <w:rtl/>
              </w:rPr>
              <w:t xml:space="preserve">הלוי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לפני בקשת האיש ליישום הכרעת בית המשפט המחוזי בעמ"ש 24845-11-21, שעניינה הוראות לגבי בירור הסכמות הצדדים בהסכם המכר לגבי מתחם </w:t>
      </w:r>
      <w:r w:rsidR="000B4ED6">
        <w:rPr>
          <w:rFonts w:ascii="David" w:hAnsi="David" w:cs="David"/>
          <w:sz w:val="24"/>
          <w:szCs w:val="24"/>
          <w:rtl/>
        </w:rPr>
        <w:t>***</w:t>
      </w:r>
      <w:r>
        <w:rPr>
          <w:rFonts w:ascii="David" w:hAnsi="David" w:cs="David"/>
          <w:sz w:val="24"/>
          <w:szCs w:val="24"/>
          <w:rtl/>
        </w:rPr>
        <w:t xml:space="preserve">, והכרעה בגורלו של ההסכם. </w:t>
      </w:r>
    </w:p>
    <w:p w:rsidR="00F1605A" w:rsidRDefault="00F1605A" w:rsidP="00F1605A">
      <w:pPr>
        <w:pStyle w:val="ac"/>
        <w:spacing w:line="360" w:lineRule="auto"/>
        <w:ind w:left="567"/>
        <w:jc w:val="both"/>
        <w:rPr>
          <w:rFonts w:ascii="David" w:hAnsi="David" w:cs="David"/>
          <w:sz w:val="24"/>
          <w:szCs w:val="24"/>
        </w:rPr>
      </w:pPr>
    </w:p>
    <w:p w:rsidR="00F1605A" w:rsidRDefault="00F1605A" w:rsidP="006B3EC6">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לשני הצדדים זכויות במתחם </w:t>
      </w:r>
      <w:r w:rsidR="000B4ED6">
        <w:rPr>
          <w:rFonts w:ascii="David" w:hAnsi="David" w:cs="David" w:hint="cs"/>
          <w:sz w:val="24"/>
          <w:szCs w:val="24"/>
          <w:rtl/>
        </w:rPr>
        <w:t>****</w:t>
      </w:r>
      <w:r w:rsidR="000B4ED6">
        <w:rPr>
          <w:rFonts w:ascii="David" w:hAnsi="David" w:cs="David"/>
          <w:sz w:val="24"/>
          <w:szCs w:val="24"/>
          <w:rtl/>
        </w:rPr>
        <w:t xml:space="preserve"> </w:t>
      </w:r>
      <w:r>
        <w:rPr>
          <w:rFonts w:ascii="David" w:hAnsi="David" w:cs="David"/>
          <w:sz w:val="24"/>
          <w:szCs w:val="24"/>
          <w:rtl/>
        </w:rPr>
        <w:t xml:space="preserve">הרשומות באופן הבא: לכל אחד מהצדדים באופן אישי: 180/60000, </w:t>
      </w:r>
      <w:r w:rsidRPr="00142B93">
        <w:rPr>
          <w:rFonts w:ascii="David" w:hAnsi="David" w:cs="David"/>
          <w:sz w:val="24"/>
          <w:szCs w:val="24"/>
          <w:rtl/>
        </w:rPr>
        <w:t xml:space="preserve">חברת </w:t>
      </w:r>
      <w:r w:rsidR="00142B93" w:rsidRPr="00142B93">
        <w:rPr>
          <w:rFonts w:ascii="David" w:hAnsi="David" w:cs="David"/>
          <w:sz w:val="24"/>
          <w:szCs w:val="24"/>
          <w:rtl/>
        </w:rPr>
        <w:t>****</w:t>
      </w:r>
      <w:r>
        <w:rPr>
          <w:rFonts w:ascii="David" w:hAnsi="David" w:cs="David"/>
          <w:sz w:val="24"/>
          <w:szCs w:val="24"/>
          <w:rtl/>
        </w:rPr>
        <w:t xml:space="preserve"> בע"מ 91/10000, כאשר האיש הוא בעל המניות היחידי בחברה. אין מחלוקת כי האישה זכאית לשוויה של החברה במסגרת איזון המשאבים בין הצדדים, וכי שווי זה מתגלם בחלקה של החברה במקרקעין. </w:t>
      </w:r>
    </w:p>
    <w:p w:rsidR="00F1605A" w:rsidRDefault="00F1605A" w:rsidP="00F1605A">
      <w:pPr>
        <w:pStyle w:val="ac"/>
        <w:spacing w:line="360" w:lineRule="auto"/>
        <w:ind w:left="567"/>
        <w:jc w:val="both"/>
        <w:rPr>
          <w:rFonts w:ascii="David" w:hAnsi="David" w:cs="David"/>
          <w:sz w:val="24"/>
          <w:szCs w:val="24"/>
          <w:highlight w:val="yellow"/>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ההסכם אושר ביום 24.12.2021 (בקשה 65). כפי שיפורט להלן ישנן כמה סוגיות שבמחלוקת בנודע להסכמות </w:t>
      </w:r>
      <w:r w:rsidR="003C0304">
        <w:rPr>
          <w:rFonts w:ascii="David" w:hAnsi="David" w:cs="David" w:hint="cs"/>
          <w:sz w:val="24"/>
          <w:szCs w:val="24"/>
          <w:rtl/>
        </w:rPr>
        <w:t>בהסכם</w:t>
      </w:r>
      <w:r>
        <w:rPr>
          <w:rFonts w:ascii="David" w:hAnsi="David" w:cs="David"/>
          <w:sz w:val="24"/>
          <w:szCs w:val="24"/>
          <w:rtl/>
        </w:rPr>
        <w:t xml:space="preserve">.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ביום 1.7.22 ניתן פסק דינו של ביהמ"ש המחוזי במסגרת עמ"ש 24845-11-21 (להלן: "</w:t>
      </w:r>
      <w:r>
        <w:rPr>
          <w:rFonts w:ascii="David" w:hAnsi="David" w:cs="David"/>
          <w:b/>
          <w:bCs/>
          <w:sz w:val="24"/>
          <w:szCs w:val="24"/>
          <w:rtl/>
        </w:rPr>
        <w:t>פסק הדין של ביהמ"ש המחוזי</w:t>
      </w:r>
      <w:r>
        <w:rPr>
          <w:rFonts w:ascii="David" w:hAnsi="David" w:cs="David"/>
          <w:sz w:val="24"/>
          <w:szCs w:val="24"/>
          <w:rtl/>
        </w:rPr>
        <w:t>").</w:t>
      </w:r>
      <w:r>
        <w:rPr>
          <w:rFonts w:ascii="David" w:hAnsi="David" w:cs="David"/>
          <w:sz w:val="24"/>
          <w:szCs w:val="24"/>
        </w:rPr>
        <w:t xml:space="preserve"> </w:t>
      </w:r>
      <w:r>
        <w:rPr>
          <w:rFonts w:ascii="David" w:hAnsi="David" w:cs="David"/>
          <w:sz w:val="24"/>
          <w:szCs w:val="24"/>
          <w:rtl/>
        </w:rPr>
        <w:t>במסגרת פסק הדין קבע ביהמ"ש המחוזי כי התיק יושב לבית משפט זה לצורך הכרעה בשאלת מהות ופרשנות הסכמת האישה להצעת האיש. בסעיפים 5 ו- 6 לפסק הדין קבע בית המשפט המחוזי את גדרי הסוגיות שהוחזרו לפתחו של ביהמ"ש זה: "</w:t>
      </w:r>
      <w:r>
        <w:rPr>
          <w:rFonts w:ascii="David" w:hAnsi="David" w:cs="David"/>
          <w:b/>
          <w:bCs/>
          <w:sz w:val="24"/>
          <w:szCs w:val="24"/>
          <w:rtl/>
        </w:rPr>
        <w:t xml:space="preserve">5. המחלוקת בין הצדדים אינה רק בשאלה המצומצמת האם המערערת צריכה לשאת בעלות המיסים בגין רכיב מכירת זכויות החברה במקרקעין לאיש, אלא היא רחבה ועמוקה הרבה יותר: </w:t>
      </w:r>
      <w:r>
        <w:rPr>
          <w:rFonts w:ascii="David" w:hAnsi="David" w:cs="David"/>
          <w:b/>
          <w:bCs/>
          <w:sz w:val="24"/>
          <w:szCs w:val="24"/>
          <w:u w:val="single"/>
          <w:rtl/>
        </w:rPr>
        <w:t xml:space="preserve">מה כללה הסכמת המערערת, כיצד יש לפרשה והאם משהיא הסכימה להצעת האיש לרכוש את חלקה אגב גירושין, ההסכמה כללה גם את רכיב העברת זכויות החברה במקרקעין </w:t>
      </w:r>
      <w:r>
        <w:rPr>
          <w:rFonts w:ascii="David" w:hAnsi="David" w:cs="David"/>
          <w:b/>
          <w:bCs/>
          <w:sz w:val="24"/>
          <w:szCs w:val="24"/>
          <w:u w:val="single"/>
          <w:rtl/>
        </w:rPr>
        <w:lastRenderedPageBreak/>
        <w:t>לאיש?</w:t>
      </w:r>
      <w:r>
        <w:rPr>
          <w:rFonts w:ascii="David" w:hAnsi="David" w:cs="David"/>
          <w:b/>
          <w:bCs/>
          <w:sz w:val="24"/>
          <w:szCs w:val="24"/>
          <w:rtl/>
        </w:rPr>
        <w:t xml:space="preserve">. 6. לפיכך, אציע לחברותיי להשיב את התיק לביהמ"ש קמא לצורך הכרעה בשאלה עקרונית זו </w:t>
      </w:r>
      <w:r>
        <w:rPr>
          <w:rFonts w:ascii="David" w:hAnsi="David" w:cs="David"/>
          <w:b/>
          <w:bCs/>
          <w:sz w:val="24"/>
          <w:szCs w:val="24"/>
          <w:u w:val="single"/>
          <w:rtl/>
        </w:rPr>
        <w:t>ורק לאחר ששאלה זו תוכרע ניתן יהיה לנסח את הסכם המכר ולהביא לאישורו, וזאת אם ייקבע שיש להמשיך בעסקת המכירה לאיש ולא להעמיד שוב את המקרקעין למכירה בשוק החופשי למרבה במחיר</w:t>
      </w:r>
      <w:r>
        <w:rPr>
          <w:rFonts w:ascii="David" w:hAnsi="David" w:cs="David"/>
          <w:b/>
          <w:bCs/>
          <w:sz w:val="24"/>
          <w:szCs w:val="24"/>
          <w:rtl/>
        </w:rPr>
        <w:t>. לפיכך, משהשאלה העקרונית טרם הוכרעה אין מקום לדון בשלב זה יתר טענות המערערת בכל הנוגע להסכם</w:t>
      </w:r>
      <w:r>
        <w:rPr>
          <w:rFonts w:ascii="David" w:hAnsi="David" w:cs="David"/>
          <w:sz w:val="24"/>
          <w:szCs w:val="24"/>
          <w:rtl/>
        </w:rPr>
        <w:t xml:space="preserve">".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3.10.2022 במסגרת רמ"ש 144-10-22 קבע כב' השופט שילה שוב את הנושאים שיידונו בהחלטה זו, וכן הדגיש כי ההסכם לא בוטל אלא מוקפא: </w:t>
      </w:r>
    </w:p>
    <w:p w:rsidR="00F1605A" w:rsidRDefault="00F1605A" w:rsidP="00F1605A">
      <w:pPr>
        <w:pStyle w:val="ac"/>
        <w:spacing w:line="360" w:lineRule="auto"/>
        <w:ind w:left="567"/>
        <w:jc w:val="both"/>
        <w:rPr>
          <w:rFonts w:ascii="David" w:hAnsi="David" w:cs="David"/>
          <w:b/>
          <w:bCs/>
          <w:sz w:val="24"/>
          <w:szCs w:val="24"/>
          <w:rtl/>
        </w:rPr>
      </w:pPr>
      <w:r>
        <w:rPr>
          <w:rFonts w:ascii="David" w:hAnsi="David" w:cs="David"/>
          <w:b/>
          <w:bCs/>
          <w:sz w:val="24"/>
          <w:szCs w:val="24"/>
          <w:rtl/>
        </w:rPr>
        <w:t>"2. [...] בפסק דיננו בערעור נקבע שהתיק יושב לבית  המשפט קמא על מנת שיכריע "מה כללה הסכמת המערערת, כיצד יש לפרשה והאם משהיא הסכימה להצעת האיש לרכוש את חלקה אגב גירושין, ההסכמה כללה גם את רכיב העברת זכויות החברה במקרקעין לאיש?" (להלן: השאלה). נקבע גם, כי "לאחר ששאלה זו תוכרע, ניתן יהיה לנסח את הסכם המכר ולהביאו לאישורו וזאת אם ייקבע שיש להמשיך בעסקת המכירה לאיש ולא להעמיד שוב את המקרקעין למכירה בשוק החופשי למרבה במחיר".[...]</w:t>
      </w:r>
    </w:p>
    <w:p w:rsidR="00F1605A" w:rsidRDefault="00F1605A" w:rsidP="00F1605A">
      <w:pPr>
        <w:pStyle w:val="ac"/>
        <w:spacing w:line="360" w:lineRule="auto"/>
        <w:ind w:left="567"/>
        <w:jc w:val="both"/>
        <w:rPr>
          <w:rFonts w:ascii="David" w:hAnsi="David" w:cs="David"/>
          <w:b/>
          <w:bCs/>
          <w:sz w:val="24"/>
          <w:szCs w:val="24"/>
          <w:rtl/>
        </w:rPr>
      </w:pPr>
      <w:r>
        <w:rPr>
          <w:rFonts w:ascii="David" w:hAnsi="David" w:cs="David"/>
          <w:b/>
          <w:bCs/>
          <w:sz w:val="24"/>
          <w:szCs w:val="24"/>
          <w:rtl/>
        </w:rPr>
        <w:t xml:space="preserve">8. אכן, בפסק הדין בערעור לא הורה בית המשפט על "ביטול עסקת מתחם </w:t>
      </w:r>
      <w:r w:rsidR="000B4ED6">
        <w:rPr>
          <w:rFonts w:ascii="David" w:hAnsi="David" w:cs="David"/>
          <w:b/>
          <w:bCs/>
          <w:sz w:val="24"/>
          <w:szCs w:val="24"/>
          <w:rtl/>
        </w:rPr>
        <w:t>***</w:t>
      </w:r>
      <w:r>
        <w:rPr>
          <w:rFonts w:ascii="David" w:hAnsi="David" w:cs="David"/>
          <w:b/>
          <w:bCs/>
          <w:sz w:val="24"/>
          <w:szCs w:val="24"/>
          <w:rtl/>
        </w:rPr>
        <w:t>". נקבע כי ההחלטה המאשרת את ההסכם תבוטל בשלב זה עד להכרעה בשאלה. נקבע גם, כי אף אם עמדת המבקשת ביחס לשאלה תידחה וניתן יהיה לאשר את עסקת המכירה למשיב, בית המשפט קמא יכריע במחלוקות הצדדים ביחס לנוסחו של הסכם.</w:t>
      </w:r>
    </w:p>
    <w:p w:rsidR="00F1605A" w:rsidRDefault="00F1605A" w:rsidP="00F1605A">
      <w:pPr>
        <w:pStyle w:val="ac"/>
        <w:spacing w:line="360" w:lineRule="auto"/>
        <w:ind w:left="567"/>
        <w:rPr>
          <w:rFonts w:ascii="David" w:hAnsi="David" w:cs="David"/>
          <w:sz w:val="24"/>
          <w:szCs w:val="24"/>
          <w:rtl/>
        </w:rPr>
      </w:pPr>
    </w:p>
    <w:p w:rsidR="00F1605A" w:rsidRDefault="00F1605A" w:rsidP="00F1605A">
      <w:pPr>
        <w:pStyle w:val="ac"/>
        <w:spacing w:line="360" w:lineRule="auto"/>
        <w:ind w:left="567"/>
        <w:jc w:val="both"/>
        <w:rPr>
          <w:rFonts w:ascii="David" w:hAnsi="David" w:cs="David"/>
          <w:b/>
          <w:bCs/>
          <w:sz w:val="24"/>
          <w:szCs w:val="24"/>
          <w:rtl/>
        </w:rPr>
      </w:pPr>
      <w:r>
        <w:rPr>
          <w:rFonts w:ascii="David" w:hAnsi="David" w:cs="David"/>
          <w:b/>
          <w:bCs/>
          <w:sz w:val="24"/>
          <w:szCs w:val="24"/>
          <w:rtl/>
        </w:rPr>
        <w:t>9. כמו כן, כב' סגנית הנשיא השופטת צפת דחתה בהחלטתה מיום 20.7.22 את נוסח הפסיקתא שהגישה המבקשת ולפיה נקבע בפסק הדין שההסכם בטל. בצדק קבע ביהמ"ש קמא כי לא נקבע בפסק הדין בערעור שההסכם "בוטל מיסודו". אכן, בשלב זה ההסכם "מוקפא" עד להכרעה בשאלה ועד להכרעה במחלוקות ביחס לניסוח ההסכם. ייתכן שבעתיד, אם בית המשפט קמא יקבל את עמדת המשיב בשאלה ואם יאשר את נוסח ההסכם לאחר שידון בטענות הצדדים ויכריע בהן בעצמו, ההסכם יהיה תקף ואכיף. "</w:t>
      </w:r>
    </w:p>
    <w:p w:rsidR="00F1605A" w:rsidRDefault="00F1605A" w:rsidP="00F1605A">
      <w:pPr>
        <w:pStyle w:val="ac"/>
        <w:spacing w:line="360" w:lineRule="auto"/>
        <w:ind w:left="567"/>
        <w:jc w:val="both"/>
        <w:rPr>
          <w:rFonts w:ascii="David" w:hAnsi="David" w:cs="David"/>
          <w:sz w:val="24"/>
          <w:szCs w:val="24"/>
          <w:rtl/>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בהמשך לפסק הדין של ביהמ"ש המחוזי הגיש האיש ביום 17.7.22 את בקשה 77 ובה עתר לבירור המחלוקות ויישום פסק הדין של ביהמ"ש המחוזי.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בבקשה 77 התנהלה התנהלות בכתב ענפה ביותר. כן התקיימו שני דיונים ביום 27.10.22 וביום 30.1.23. בנוסף לבקשת ב"כ הצדדים הוגשו גם סיכומים קצרים בכתב.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להשלמת התמונה יצויין כי החלטה זו ניתנת בד בבד עם ההחלטה בבקשה לשכר טרחה שהגיש הכונס (בקשה 74) ובה רכיב הנוגע למתחם </w:t>
      </w:r>
      <w:r w:rsidR="000B4ED6">
        <w:rPr>
          <w:rFonts w:ascii="David" w:hAnsi="David" w:cs="David"/>
          <w:sz w:val="24"/>
          <w:szCs w:val="24"/>
          <w:rtl/>
        </w:rPr>
        <w:t>***</w:t>
      </w:r>
      <w:r>
        <w:rPr>
          <w:rFonts w:ascii="David" w:hAnsi="David" w:cs="David"/>
          <w:sz w:val="24"/>
          <w:szCs w:val="24"/>
          <w:rtl/>
        </w:rPr>
        <w:t xml:space="preserve">, וכן פסק הדין בתביעה שהגישה האישה לאיזון תקבולי שכירות ממתחם </w:t>
      </w:r>
      <w:r w:rsidR="000B4ED6">
        <w:rPr>
          <w:rFonts w:ascii="David" w:hAnsi="David" w:cs="David"/>
          <w:sz w:val="24"/>
          <w:szCs w:val="24"/>
          <w:rtl/>
        </w:rPr>
        <w:t>***</w:t>
      </w:r>
      <w:r>
        <w:rPr>
          <w:rFonts w:ascii="David" w:hAnsi="David" w:cs="David"/>
          <w:sz w:val="24"/>
          <w:szCs w:val="24"/>
          <w:rtl/>
        </w:rPr>
        <w:t xml:space="preserve"> (תמ"ש 70878-12-20).</w:t>
      </w:r>
    </w:p>
    <w:p w:rsidR="00F1605A" w:rsidRDefault="00F1605A" w:rsidP="00F1605A">
      <w:pPr>
        <w:pStyle w:val="ac"/>
        <w:rPr>
          <w:rFonts w:ascii="David" w:hAnsi="David" w:cs="David"/>
          <w:sz w:val="24"/>
          <w:szCs w:val="24"/>
        </w:rPr>
      </w:pPr>
    </w:p>
    <w:p w:rsidR="00F92D05" w:rsidRDefault="00F92D05" w:rsidP="00F1605A">
      <w:pPr>
        <w:pStyle w:val="ac"/>
        <w:spacing w:line="360" w:lineRule="auto"/>
        <w:ind w:left="0"/>
        <w:jc w:val="both"/>
        <w:rPr>
          <w:rFonts w:ascii="David" w:hAnsi="David" w:cs="David"/>
          <w:b/>
          <w:bCs/>
          <w:sz w:val="24"/>
          <w:szCs w:val="24"/>
          <w:u w:val="single"/>
          <w:rtl/>
        </w:rPr>
      </w:pPr>
    </w:p>
    <w:p w:rsidR="00F1605A" w:rsidRDefault="00F1605A" w:rsidP="00F1605A">
      <w:pPr>
        <w:pStyle w:val="ac"/>
        <w:spacing w:line="360" w:lineRule="auto"/>
        <w:ind w:left="0"/>
        <w:jc w:val="both"/>
        <w:rPr>
          <w:rFonts w:ascii="David" w:hAnsi="David" w:cs="David"/>
          <w:b/>
          <w:bCs/>
          <w:sz w:val="24"/>
          <w:szCs w:val="24"/>
          <w:u w:val="single"/>
          <w:rtl/>
        </w:rPr>
      </w:pPr>
      <w:r>
        <w:rPr>
          <w:rFonts w:ascii="David" w:hAnsi="David" w:cs="David"/>
          <w:b/>
          <w:bCs/>
          <w:sz w:val="24"/>
          <w:szCs w:val="24"/>
          <w:u w:val="single"/>
          <w:rtl/>
        </w:rPr>
        <w:lastRenderedPageBreak/>
        <w:t>טענות הצדדים</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b/>
          <w:bCs/>
          <w:sz w:val="24"/>
          <w:szCs w:val="24"/>
          <w:rtl/>
        </w:rPr>
        <w:t>לטענת האיש</w:t>
      </w:r>
      <w:r>
        <w:rPr>
          <w:rFonts w:ascii="David" w:hAnsi="David" w:cs="David"/>
          <w:sz w:val="24"/>
          <w:szCs w:val="24"/>
          <w:rtl/>
        </w:rPr>
        <w:t xml:space="preserve"> יש להותיר את ההסכם על כנו. לטענת האיש, האישה הייתה מודעת היטב לפרטי ההסכם, אישרה את עקרונותיו במגוון דרכים ולאורך זמן ויש לדחות את בקשתה לביטול ההסכם וכן לדחות את טענותיה לגבי אופן ביצוע העסקה. בנוסף טוען האיש כי האישה הייתה מודעת היטב לאופן הגדרת הזכויות בהסכם,  את העובדה שההסכם כולל את העברת מלוא הזכויות במתחם אליו (לרבות בין החברה אליו) וכי זה המימוש המהותי הנדרש לאיזון המשאבים בין הצדדים במתחם. בנוסף, טוען האיש כי הייתה הסכמה מפורשת, מוסכמת ולאחר בדיקה של האישה כי החיוב במס על כלל העסקה יהיה בחלקים שווים. האיש מדגיש כי האישה הייתה מודעת כי לא כל העסקה תהיה אגב גירושין ולכן פנתה לבחון את היבטי המיסוי. האיש חוזר ומדגיש כי הוא השלים את מלוא התמורה על פי ההסכם. לסיום עותר האיש לאשר את ההסכם מחדש ולאשר את נוסחו.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b/>
          <w:bCs/>
          <w:sz w:val="24"/>
          <w:szCs w:val="24"/>
          <w:rtl/>
        </w:rPr>
        <w:t>לטענת האישה</w:t>
      </w:r>
      <w:r>
        <w:rPr>
          <w:rFonts w:ascii="David" w:hAnsi="David" w:cs="David"/>
          <w:sz w:val="24"/>
          <w:szCs w:val="24"/>
          <w:rtl/>
        </w:rPr>
        <w:t xml:space="preserve"> יש להורות על ביטול עסקת המכר, מאחר והיא לא הסכימה כי העסקה תכלול את העברת הזכויות בין האיש לבין החברה, ואם תכלול - הרי שזהו עניין לאיש בלבד ההעברה בינו לבין החברה, לרבות בחיוב המס בגין רכיב זה. לטענת האישה היא אינה חלק מהעברת הזכויות בין האיש לחברה וככל ויהיה לכך מיסוי על האיש לשאת בו לבדו. לטענתה של האישה רצונו של האיש לערוך הסכם נוסף בינו לבין החברה אינה מעניינה ואין לחייבה בכך בכל דרך שהיא. בנוסף, ציינה כי דרישתו של האיש כי יהיה מדובר בעסקה נוספת מהווה עסקה מלאכותית שמטרתו של האיש בה להפחית מהזכויות המגיעות לה כדין. </w:t>
      </w:r>
    </w:p>
    <w:p w:rsidR="00F1605A" w:rsidRDefault="00F1605A" w:rsidP="00F1605A">
      <w:pPr>
        <w:pStyle w:val="ac"/>
        <w:rPr>
          <w:rFonts w:ascii="David" w:hAnsi="David" w:cs="David"/>
          <w:sz w:val="24"/>
          <w:szCs w:val="24"/>
        </w:rPr>
      </w:pPr>
    </w:p>
    <w:p w:rsidR="00F1605A" w:rsidRDefault="00F1605A" w:rsidP="00F1605A">
      <w:pPr>
        <w:pStyle w:val="ac"/>
        <w:spacing w:line="360" w:lineRule="auto"/>
        <w:ind w:left="567"/>
        <w:jc w:val="both"/>
        <w:rPr>
          <w:rFonts w:ascii="David" w:hAnsi="David" w:cs="David"/>
          <w:sz w:val="24"/>
          <w:szCs w:val="24"/>
          <w:rtl/>
        </w:rPr>
      </w:pPr>
      <w:r>
        <w:rPr>
          <w:rFonts w:ascii="David" w:hAnsi="David" w:cs="David"/>
          <w:sz w:val="24"/>
          <w:szCs w:val="24"/>
          <w:rtl/>
        </w:rPr>
        <w:t xml:space="preserve">בנוסף, עתרה האישה בתחילה כי בימ"ש יורה על מכירת מתחם </w:t>
      </w:r>
      <w:r w:rsidR="000B4ED6">
        <w:rPr>
          <w:rFonts w:ascii="David" w:hAnsi="David" w:cs="David"/>
          <w:sz w:val="24"/>
          <w:szCs w:val="24"/>
          <w:rtl/>
        </w:rPr>
        <w:t>***</w:t>
      </w:r>
      <w:r>
        <w:rPr>
          <w:rFonts w:ascii="David" w:hAnsi="David" w:cs="David"/>
          <w:sz w:val="24"/>
          <w:szCs w:val="24"/>
          <w:rtl/>
        </w:rPr>
        <w:t xml:space="preserve"> בשוק החופשי לכל המרבה במחיר. בסיכומיה ובדיון שינתה עמדתה וב"כ ציין כי היא מבקשת לערוך חלוקה בעין עם תשלומי איזון של המתחם.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b/>
          <w:bCs/>
          <w:sz w:val="24"/>
          <w:szCs w:val="24"/>
          <w:rtl/>
        </w:rPr>
        <w:t>לטענת כונס הנכסים</w:t>
      </w:r>
      <w:r>
        <w:rPr>
          <w:rFonts w:ascii="David" w:hAnsi="David" w:cs="David"/>
          <w:sz w:val="24"/>
          <w:szCs w:val="24"/>
          <w:rtl/>
        </w:rPr>
        <w:t xml:space="preserve"> יש לקבוע כי עסקת המכר כללה את החברה ואת העברת מלוא הזכויות במקרקעין כמכלול לאיש (הן החלק הפרטי והן החלק של החברה). כונס הנכסים מדגיש כי האישה נתנה הסכמה לרכישת חלקה במתחם </w:t>
      </w:r>
      <w:r w:rsidR="000B4ED6">
        <w:rPr>
          <w:rFonts w:ascii="David" w:hAnsi="David" w:cs="David"/>
          <w:sz w:val="24"/>
          <w:szCs w:val="24"/>
          <w:rtl/>
        </w:rPr>
        <w:t>***</w:t>
      </w:r>
      <w:r>
        <w:rPr>
          <w:rFonts w:ascii="David" w:hAnsi="David" w:cs="David"/>
          <w:sz w:val="24"/>
          <w:szCs w:val="24"/>
          <w:rtl/>
        </w:rPr>
        <w:t xml:space="preserve"> וכי הסכמה זו כללה גם את רכיב העברת הזכויות של החברה במקרקעין על ידי האיש. הכונס מציין כי האישה ידעה שיכול וההעברה הנוגעת לחברה תכלול היבטי מיסוי ולא תסווג כהעברה אגב גירושין, והיא נתנה הסכמתה לעסקה בכללותה. כונס הנכסים עותר לאישור העסקה והכרעה לגבי נוסח ההסכם. </w:t>
      </w:r>
    </w:p>
    <w:p w:rsidR="00F1605A" w:rsidRDefault="00F1605A" w:rsidP="00F1605A">
      <w:pPr>
        <w:pStyle w:val="ac"/>
        <w:rPr>
          <w:rFonts w:ascii="David" w:hAnsi="David" w:cs="David"/>
          <w:sz w:val="24"/>
          <w:szCs w:val="24"/>
        </w:rPr>
      </w:pPr>
    </w:p>
    <w:p w:rsidR="00F1605A" w:rsidRDefault="00F1605A" w:rsidP="00F1605A">
      <w:pPr>
        <w:pStyle w:val="ac"/>
        <w:rPr>
          <w:rFonts w:ascii="David" w:hAnsi="David" w:cs="David"/>
          <w:sz w:val="24"/>
          <w:szCs w:val="24"/>
          <w:highlight w:val="yellow"/>
          <w:rtl/>
        </w:rPr>
      </w:pPr>
    </w:p>
    <w:p w:rsidR="00F92D05" w:rsidRDefault="00F92D05" w:rsidP="00F1605A">
      <w:pPr>
        <w:pStyle w:val="ac"/>
        <w:rPr>
          <w:rFonts w:ascii="David" w:hAnsi="David" w:cs="David"/>
          <w:sz w:val="24"/>
          <w:szCs w:val="24"/>
          <w:highlight w:val="yellow"/>
          <w:rtl/>
        </w:rPr>
      </w:pPr>
    </w:p>
    <w:p w:rsidR="00F92D05" w:rsidRDefault="00F92D05" w:rsidP="00F1605A">
      <w:pPr>
        <w:pStyle w:val="ac"/>
        <w:rPr>
          <w:rFonts w:ascii="David" w:hAnsi="David" w:cs="David"/>
          <w:sz w:val="24"/>
          <w:szCs w:val="24"/>
          <w:highlight w:val="yellow"/>
          <w:rtl/>
        </w:rPr>
      </w:pPr>
    </w:p>
    <w:p w:rsidR="00F92D05" w:rsidRDefault="00F92D05" w:rsidP="00F1605A">
      <w:pPr>
        <w:pStyle w:val="ac"/>
        <w:rPr>
          <w:rFonts w:ascii="David" w:hAnsi="David" w:cs="David"/>
          <w:sz w:val="24"/>
          <w:szCs w:val="24"/>
          <w:highlight w:val="yellow"/>
          <w:rtl/>
        </w:rPr>
      </w:pPr>
    </w:p>
    <w:p w:rsidR="00F92D05" w:rsidRDefault="00F92D05" w:rsidP="00F1605A">
      <w:pPr>
        <w:pStyle w:val="ac"/>
        <w:rPr>
          <w:rFonts w:ascii="David" w:hAnsi="David" w:cs="David"/>
          <w:sz w:val="24"/>
          <w:szCs w:val="24"/>
          <w:highlight w:val="yellow"/>
          <w:rtl/>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u w:val="single"/>
          <w:rtl/>
        </w:rPr>
        <w:lastRenderedPageBreak/>
        <w:t>ארבע סוגיות נדרשות להכרעה במסגרת בקשה 77</w:t>
      </w:r>
      <w:r>
        <w:rPr>
          <w:rFonts w:ascii="David" w:hAnsi="David" w:cs="David"/>
          <w:sz w:val="24"/>
          <w:szCs w:val="24"/>
          <w:rtl/>
        </w:rPr>
        <w:t xml:space="preserve">: </w:t>
      </w:r>
      <w:r>
        <w:rPr>
          <w:rFonts w:ascii="David" w:hAnsi="David" w:cs="David"/>
          <w:sz w:val="24"/>
          <w:szCs w:val="24"/>
          <w:u w:val="single"/>
          <w:rtl/>
        </w:rPr>
        <w:t>סוגיה אחת</w:t>
      </w:r>
      <w:r>
        <w:rPr>
          <w:rFonts w:ascii="David" w:hAnsi="David" w:cs="David"/>
          <w:sz w:val="24"/>
          <w:szCs w:val="24"/>
          <w:rtl/>
        </w:rPr>
        <w:t xml:space="preserve">, הינה מה כללה הסכמת האישה, והאם הסכימה לרכישה של מתחם </w:t>
      </w:r>
      <w:r w:rsidR="000B4ED6">
        <w:rPr>
          <w:rFonts w:ascii="David" w:hAnsi="David" w:cs="David"/>
          <w:sz w:val="24"/>
          <w:szCs w:val="24"/>
          <w:rtl/>
        </w:rPr>
        <w:t>***</w:t>
      </w:r>
      <w:r>
        <w:rPr>
          <w:rFonts w:ascii="David" w:hAnsi="David" w:cs="David"/>
          <w:sz w:val="24"/>
          <w:szCs w:val="24"/>
          <w:rtl/>
        </w:rPr>
        <w:t xml:space="preserve"> אגב גירושין הכולל גם את רכיב העברת זכויות החברה במקרקעין לאיש. </w:t>
      </w:r>
      <w:r>
        <w:rPr>
          <w:rFonts w:ascii="David" w:hAnsi="David" w:cs="David"/>
          <w:sz w:val="24"/>
          <w:szCs w:val="24"/>
          <w:u w:val="single"/>
          <w:rtl/>
        </w:rPr>
        <w:t>סוגיה שניה</w:t>
      </w:r>
      <w:r>
        <w:rPr>
          <w:rFonts w:ascii="David" w:hAnsi="David" w:cs="David"/>
          <w:sz w:val="24"/>
          <w:szCs w:val="24"/>
          <w:rtl/>
        </w:rPr>
        <w:t xml:space="preserve">, הינה האם על האישה לשאת בעלות המיסים בגין רכיב העברת זכויות החברה במקרקעין לאיש. </w:t>
      </w:r>
      <w:r>
        <w:rPr>
          <w:rFonts w:ascii="David" w:hAnsi="David" w:cs="David"/>
          <w:sz w:val="24"/>
          <w:szCs w:val="24"/>
          <w:u w:val="single"/>
          <w:rtl/>
        </w:rPr>
        <w:t>סוגיה שלישית</w:t>
      </w:r>
      <w:r>
        <w:rPr>
          <w:rFonts w:ascii="David" w:hAnsi="David" w:cs="David"/>
          <w:sz w:val="24"/>
          <w:szCs w:val="24"/>
          <w:rtl/>
        </w:rPr>
        <w:t xml:space="preserve">, האם יש מקום להמשיך במתווה המכר הקודם או יש להורות כבקשת האישה על מכירת המתחם בשוק החופשי לכל המרבה במחיר. </w:t>
      </w:r>
      <w:r>
        <w:rPr>
          <w:rFonts w:ascii="David" w:hAnsi="David" w:cs="David"/>
          <w:sz w:val="24"/>
          <w:szCs w:val="24"/>
          <w:u w:val="single"/>
          <w:rtl/>
        </w:rPr>
        <w:t>סוגיה רביעית</w:t>
      </w:r>
      <w:r>
        <w:rPr>
          <w:rFonts w:ascii="David" w:hAnsi="David" w:cs="David"/>
          <w:sz w:val="24"/>
          <w:szCs w:val="24"/>
          <w:rtl/>
        </w:rPr>
        <w:t xml:space="preserve">, הינה סוגית ניסוח הסכם המכר. </w:t>
      </w:r>
    </w:p>
    <w:p w:rsidR="00F1605A" w:rsidRDefault="00F1605A" w:rsidP="00F1605A">
      <w:pPr>
        <w:pStyle w:val="ac"/>
        <w:rPr>
          <w:rFonts w:ascii="David" w:hAnsi="David" w:cs="David"/>
          <w:sz w:val="24"/>
          <w:szCs w:val="24"/>
        </w:rPr>
      </w:pPr>
    </w:p>
    <w:p w:rsidR="00F1605A" w:rsidRDefault="00F1605A" w:rsidP="00F1605A">
      <w:pPr>
        <w:spacing w:line="360" w:lineRule="auto"/>
        <w:jc w:val="both"/>
        <w:rPr>
          <w:rFonts w:ascii="David" w:hAnsi="David"/>
          <w:b/>
          <w:bCs/>
          <w:u w:val="single"/>
          <w:rtl/>
        </w:rPr>
      </w:pPr>
      <w:r>
        <w:rPr>
          <w:rFonts w:ascii="David" w:hAnsi="David"/>
          <w:b/>
          <w:bCs/>
          <w:u w:val="single"/>
          <w:rtl/>
        </w:rPr>
        <w:t xml:space="preserve">1).  מה כללה הסכמת האישה והאם הסכימה לרכישה של מתחם </w:t>
      </w:r>
      <w:r w:rsidR="000B4ED6">
        <w:rPr>
          <w:rFonts w:ascii="David" w:hAnsi="David"/>
          <w:b/>
          <w:bCs/>
          <w:u w:val="single"/>
          <w:rtl/>
        </w:rPr>
        <w:t>***</w:t>
      </w:r>
      <w:r>
        <w:rPr>
          <w:rFonts w:ascii="David" w:hAnsi="David"/>
          <w:b/>
          <w:bCs/>
          <w:u w:val="single"/>
          <w:rtl/>
        </w:rPr>
        <w:t xml:space="preserve"> אגב גירושין הכולל גם את רכיב העברת זכויות החברה במקרקעין לאיש?</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בבחינת שאלה זו המשקל המכריע שניתן על ידי הוא בחינת הצהרות, טענות והתנהלות האישה בזמן אמת. בשל רמת הקונפליקט בין הצדדים והמחלוקות ביניהם בזמן אמת בהתנהלות בתיק עצמו ניתן היה להתרשם מעמדותיהם בעושר רב של טענות ומסמכים, ובאופן מתפתח. זאת בנוסף, לחקירות הצדדים בבקשה זו שיובאו בהמשך.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בהתאם לכך להלן ההתנהלות בעיקרי הדברים הרלוונטיים.</w:t>
      </w:r>
    </w:p>
    <w:p w:rsidR="00F1605A" w:rsidRDefault="00F1605A" w:rsidP="00F1605A">
      <w:pPr>
        <w:pStyle w:val="ac"/>
        <w:rPr>
          <w:rFonts w:ascii="David" w:hAnsi="David"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ascii="David" w:hAnsi="David" w:cs="David"/>
          <w:sz w:val="24"/>
          <w:szCs w:val="24"/>
          <w:u w:val="single"/>
          <w:rtl/>
        </w:rPr>
        <w:t xml:space="preserve">בקשה 40 של כונס הנכסים לחלוקת נכסים ומכירת מתחם </w:t>
      </w:r>
      <w:r w:rsidR="000B4ED6">
        <w:rPr>
          <w:rFonts w:ascii="David" w:hAnsi="David" w:cs="David"/>
          <w:sz w:val="24"/>
          <w:szCs w:val="24"/>
          <w:u w:val="single"/>
          <w:rtl/>
        </w:rPr>
        <w:t>***</w:t>
      </w:r>
      <w:r>
        <w:rPr>
          <w:rFonts w:ascii="David" w:hAnsi="David" w:cs="David"/>
          <w:sz w:val="24"/>
          <w:szCs w:val="24"/>
          <w:u w:val="single"/>
          <w:rtl/>
        </w:rPr>
        <w:t xml:space="preserve"> -</w:t>
      </w:r>
      <w:r>
        <w:rPr>
          <w:rFonts w:ascii="David" w:hAnsi="David" w:cs="David"/>
          <w:sz w:val="24"/>
          <w:szCs w:val="24"/>
          <w:rtl/>
        </w:rPr>
        <w:t xml:space="preserve"> ביום </w:t>
      </w:r>
      <w:r>
        <w:rPr>
          <w:rFonts w:cs="David"/>
          <w:sz w:val="24"/>
          <w:szCs w:val="24"/>
          <w:rtl/>
        </w:rPr>
        <w:t xml:space="preserve">24.10.2019 הגיש כונס הנכסים בקשה למתן הוראות לגבי איזון משאבים בין הצדדים וחלוקת נכסים (בקשה 40). במסגרת בקשה זו עתר כונס הנכסים בין היתר למכור את מתחם </w:t>
      </w:r>
      <w:r w:rsidR="000B4ED6">
        <w:rPr>
          <w:rFonts w:cs="David"/>
          <w:sz w:val="24"/>
          <w:szCs w:val="24"/>
          <w:rtl/>
        </w:rPr>
        <w:t>***</w:t>
      </w:r>
      <w:r>
        <w:rPr>
          <w:rFonts w:cs="David"/>
          <w:sz w:val="24"/>
          <w:szCs w:val="24"/>
          <w:rtl/>
        </w:rPr>
        <w:t xml:space="preserve"> ובתמורת מכירת </w:t>
      </w:r>
      <w:r w:rsidR="000B4ED6">
        <w:rPr>
          <w:rFonts w:cs="David"/>
          <w:sz w:val="24"/>
          <w:szCs w:val="24"/>
          <w:rtl/>
        </w:rPr>
        <w:t>***</w:t>
      </w:r>
      <w:r>
        <w:rPr>
          <w:rFonts w:cs="David"/>
          <w:sz w:val="24"/>
          <w:szCs w:val="24"/>
          <w:rtl/>
        </w:rPr>
        <w:t xml:space="preserve"> (לאחר תשלום הוצאות מכירה, חיובים וחבויות לרשויות המס) לבצע איזון בין הצדדים. בסעיף 7 לבקשת הכונס הוא ציין מפורשות לגבי מתחם </w:t>
      </w:r>
      <w:r w:rsidR="000B4ED6">
        <w:rPr>
          <w:rFonts w:cs="David"/>
          <w:sz w:val="24"/>
          <w:szCs w:val="24"/>
          <w:rtl/>
        </w:rPr>
        <w:t>***</w:t>
      </w:r>
      <w:r>
        <w:rPr>
          <w:rFonts w:cs="David"/>
          <w:sz w:val="24"/>
          <w:szCs w:val="24"/>
          <w:rtl/>
        </w:rPr>
        <w:t xml:space="preserve"> כי המתחם רשום ע"ש החברה ולעת המימוש בין יתר החיובים והחבויות שיושתו על המכירה יושת אף מס רווחי הון. הדברים רלוונטיים גם להכרעה כעת מאחר והיה ברור כי אם יימכר הנכס לצד שלישי יימכרו כמובן גם הזכויות של החברה דבר שיגרור אחריו חיובים אחרים מהחיובים "הפנימיים" בין הצדדים ויש לקחת זאת בחשבון. </w:t>
      </w:r>
    </w:p>
    <w:p w:rsidR="00F1605A" w:rsidRDefault="00F1605A" w:rsidP="00F1605A">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בתגובתה של האישה לבקשה 40 ביום 17.11.2019 ציין ב"כ כי האישה חפצה לרכוש את מתחם </w:t>
      </w:r>
      <w:r w:rsidR="000B4ED6">
        <w:rPr>
          <w:rFonts w:cs="David"/>
          <w:sz w:val="24"/>
          <w:szCs w:val="24"/>
          <w:rtl/>
        </w:rPr>
        <w:t>***</w:t>
      </w:r>
      <w:r>
        <w:rPr>
          <w:rFonts w:cs="David"/>
          <w:sz w:val="24"/>
          <w:szCs w:val="24"/>
          <w:rtl/>
        </w:rPr>
        <w:t xml:space="preserve"> וכי העברת </w:t>
      </w:r>
      <w:r>
        <w:rPr>
          <w:rFonts w:cs="David"/>
          <w:sz w:val="24"/>
          <w:szCs w:val="24"/>
          <w:u w:val="single"/>
          <w:rtl/>
        </w:rPr>
        <w:t>מלוא המתחם לידי האישה</w:t>
      </w:r>
      <w:r>
        <w:rPr>
          <w:rFonts w:cs="David"/>
          <w:sz w:val="24"/>
          <w:szCs w:val="24"/>
          <w:rtl/>
        </w:rPr>
        <w:t xml:space="preserve"> תחסוך בעלויות מיסוי. התייחסות זו של האישה בוודאי התייחסה למלוא הזכויות כולן ולא רק לזכויות האיש. והרי העברת כל הזכויות – הן של האיש והן של החברה – לידי האישה משולה כעת לאותו מצב רק שבו האיש רוכש את הזכויות מהאישה. אין מקום ליצור הבחנות בין העסקאות השונות שהרי המטרה בסופו של יום לסיים את כל האיזון החלוקה ופירוק השיתוף בזכויות במתחם. מתגובה זו עולה כי האישה כאשר חפצה לקבל לידיה את המתחם התייחסה למעבר הזכויות מהאיש אליה ומהחברה אליה. זהו בדיוק המצב הקיים כעת רק בהעברה לאיש. </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ביום 30.1.2020 התקיים דיון בבקשת הכונס לביצוע חלוקה של הנכסים ומכירת מתחם </w:t>
      </w:r>
      <w:r w:rsidR="000B4ED6">
        <w:rPr>
          <w:rFonts w:cs="David"/>
          <w:sz w:val="24"/>
          <w:szCs w:val="24"/>
          <w:rtl/>
        </w:rPr>
        <w:t>***</w:t>
      </w:r>
      <w:r>
        <w:rPr>
          <w:rFonts w:cs="David"/>
          <w:sz w:val="24"/>
          <w:szCs w:val="24"/>
          <w:rtl/>
        </w:rPr>
        <w:t xml:space="preserve">. במסגרת דיון זה ב"כ האישה הפנה לשמאות של מתחם </w:t>
      </w:r>
      <w:r w:rsidR="000B4ED6">
        <w:rPr>
          <w:rFonts w:cs="David"/>
          <w:sz w:val="24"/>
          <w:szCs w:val="24"/>
          <w:rtl/>
        </w:rPr>
        <w:t>***</w:t>
      </w:r>
      <w:r>
        <w:rPr>
          <w:rFonts w:cs="David"/>
          <w:sz w:val="24"/>
          <w:szCs w:val="24"/>
          <w:rtl/>
        </w:rPr>
        <w:t xml:space="preserve"> הכוללת את הזכויות של הצדדים ושל החברה יחדיו (ראו: פרוט' מיום 30.1.2020 עמ' 4 שורות 9-10). בהמשך מתייחס ב"כ של האישה לגבי אופן ביצוע המכר ומבהיר כי המתחם כולל חלק הרשום על שם הצדדים וחלק רשות על שם החברה ומצביע כי יהיו משמעויות מיסויות לרבות העברת זכויות במניות החברה שעל שמה רשום הנכס:</w:t>
      </w:r>
    </w:p>
    <w:p w:rsidR="00F1605A" w:rsidRDefault="00F1605A" w:rsidP="00F1605A">
      <w:pPr>
        <w:pStyle w:val="ac"/>
        <w:spacing w:line="360" w:lineRule="auto"/>
        <w:ind w:left="567"/>
        <w:jc w:val="both"/>
        <w:rPr>
          <w:rFonts w:cs="David"/>
          <w:b/>
          <w:bCs/>
          <w:sz w:val="24"/>
          <w:szCs w:val="24"/>
        </w:rPr>
      </w:pPr>
      <w:r>
        <w:rPr>
          <w:rFonts w:cs="David"/>
          <w:sz w:val="24"/>
          <w:szCs w:val="24"/>
          <w:rtl/>
        </w:rPr>
        <w:t>"</w:t>
      </w:r>
      <w:r>
        <w:rPr>
          <w:rFonts w:cs="David"/>
          <w:b/>
          <w:bCs/>
          <w:sz w:val="24"/>
          <w:szCs w:val="24"/>
          <w:rtl/>
        </w:rPr>
        <w:t xml:space="preserve">הכונס אומר שיש חברה של </w:t>
      </w:r>
      <w:r w:rsidR="000B4ED6">
        <w:rPr>
          <w:rFonts w:cs="David"/>
          <w:b/>
          <w:bCs/>
          <w:sz w:val="24"/>
          <w:szCs w:val="24"/>
          <w:rtl/>
        </w:rPr>
        <w:t>***</w:t>
      </w:r>
      <w:r>
        <w:rPr>
          <w:rFonts w:cs="David"/>
          <w:b/>
          <w:bCs/>
          <w:sz w:val="24"/>
          <w:szCs w:val="24"/>
          <w:rtl/>
        </w:rPr>
        <w:t xml:space="preserve">, צריך לדייק חלקו רשום בחלקים שווים בין בני הזוג וחלקו רשום על שם חברה. </w:t>
      </w:r>
    </w:p>
    <w:p w:rsidR="00F1605A" w:rsidRDefault="00F1605A" w:rsidP="00F1605A">
      <w:pPr>
        <w:pStyle w:val="ac"/>
        <w:spacing w:line="360" w:lineRule="auto"/>
        <w:ind w:left="567"/>
        <w:jc w:val="both"/>
        <w:rPr>
          <w:rFonts w:cs="David"/>
          <w:sz w:val="24"/>
          <w:szCs w:val="24"/>
          <w:rtl/>
        </w:rPr>
      </w:pPr>
      <w:r>
        <w:rPr>
          <w:rFonts w:cs="David"/>
          <w:b/>
          <w:bCs/>
          <w:sz w:val="24"/>
          <w:szCs w:val="24"/>
          <w:rtl/>
        </w:rPr>
        <w:t>כשהכונס אומר שיש משמעויות מסויות באמצעות חברה כזאת או אחרת, לגבירתי אין היום את הנתונים. בטח שיש חישוב אבל אגיד לגבירתי יותר מזה, למשל כאשר אנו מדברים על העברת זכויות במניות חברה הזאת שעל שמה רשום הנכס יש לזה משמעויות אחרות למכירה חיצונית כשיש בני זוג ומכירה של חברה.</w:t>
      </w:r>
      <w:r>
        <w:rPr>
          <w:rFonts w:cs="David"/>
          <w:sz w:val="24"/>
          <w:szCs w:val="24"/>
          <w:rtl/>
        </w:rPr>
        <w:t>" (ראו: עמ' 5 שורות 4-9).</w:t>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ההכרעה בבקשה 40 בדיון ביום 30.1.2020 הייתה כי בקשתו של הכונס מתקבלת והוריתי על מכירה בשוק החופשי של מתחם </w:t>
      </w:r>
      <w:r w:rsidR="000B4ED6">
        <w:rPr>
          <w:rFonts w:cs="David"/>
          <w:sz w:val="24"/>
          <w:szCs w:val="24"/>
          <w:rtl/>
        </w:rPr>
        <w:t>***</w:t>
      </w:r>
      <w:r>
        <w:rPr>
          <w:rFonts w:cs="David"/>
          <w:sz w:val="24"/>
          <w:szCs w:val="24"/>
          <w:rtl/>
        </w:rPr>
        <w:t xml:space="preserve"> ודחיית בקשת שני הצדדים לרכישת המתחם על ידם. כמו כן צויין גם בהחלטה כי יהיו משמעויות מיסויות לביצוע מכירה זו לאור אופי הרישום של המתחם. </w:t>
      </w:r>
    </w:p>
    <w:p w:rsidR="00F1605A" w:rsidRDefault="00F1605A" w:rsidP="00F1605A">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 xml:space="preserve">העולה מבקשה 40 כי האישה מתייחסת למתחם </w:t>
      </w:r>
      <w:r w:rsidR="000B4ED6">
        <w:rPr>
          <w:rFonts w:cs="David"/>
          <w:sz w:val="24"/>
          <w:szCs w:val="24"/>
          <w:rtl/>
        </w:rPr>
        <w:t>***</w:t>
      </w:r>
      <w:r>
        <w:rPr>
          <w:rFonts w:cs="David"/>
          <w:sz w:val="24"/>
          <w:szCs w:val="24"/>
          <w:rtl/>
        </w:rPr>
        <w:t xml:space="preserve"> ככולל את הזכויות האישיות ושל החברה, וכן עולה כי היא ערה למשמעויות המיסוי הנפרדות הנוספות בשל ההיבט של העסקה גם עם החברה. </w:t>
      </w:r>
    </w:p>
    <w:p w:rsidR="00F1605A" w:rsidRDefault="00F1605A" w:rsidP="00F1605A">
      <w:pPr>
        <w:pStyle w:val="ac"/>
        <w:rPr>
          <w:rFonts w:cs="David"/>
          <w:sz w:val="24"/>
          <w:szCs w:val="24"/>
          <w:highlight w:val="yellow"/>
        </w:rPr>
      </w:pPr>
    </w:p>
    <w:p w:rsidR="00F1605A" w:rsidRDefault="00F1605A" w:rsidP="00F1605A">
      <w:pPr>
        <w:pStyle w:val="ac"/>
        <w:numPr>
          <w:ilvl w:val="0"/>
          <w:numId w:val="1"/>
        </w:numPr>
        <w:spacing w:line="360" w:lineRule="auto"/>
        <w:jc w:val="both"/>
        <w:rPr>
          <w:rFonts w:cs="David"/>
          <w:sz w:val="24"/>
          <w:szCs w:val="24"/>
          <w:u w:val="single"/>
          <w:rtl/>
        </w:rPr>
      </w:pPr>
      <w:r>
        <w:rPr>
          <w:rFonts w:ascii="David" w:hAnsi="David" w:cs="David"/>
          <w:sz w:val="24"/>
          <w:szCs w:val="24"/>
          <w:u w:val="single"/>
          <w:rtl/>
        </w:rPr>
        <w:t xml:space="preserve">בקשה 44 – בקשת האישה לעיכוב ביצוע של ההחלטה מיום 30.1.2020 (למכירת מתחם </w:t>
      </w:r>
      <w:r w:rsidR="000B4ED6">
        <w:rPr>
          <w:rFonts w:ascii="David" w:hAnsi="David" w:cs="David"/>
          <w:sz w:val="24"/>
          <w:szCs w:val="24"/>
          <w:u w:val="single"/>
          <w:rtl/>
        </w:rPr>
        <w:t>***</w:t>
      </w:r>
      <w:r>
        <w:rPr>
          <w:rFonts w:ascii="David" w:hAnsi="David" w:cs="David"/>
          <w:sz w:val="24"/>
          <w:szCs w:val="24"/>
          <w:u w:val="single"/>
          <w:rtl/>
        </w:rPr>
        <w:t xml:space="preserve"> בשוק החופשי) – </w:t>
      </w:r>
      <w:r>
        <w:rPr>
          <w:rFonts w:ascii="David" w:hAnsi="David" w:cs="David"/>
          <w:sz w:val="24"/>
          <w:szCs w:val="24"/>
          <w:rtl/>
        </w:rPr>
        <w:t xml:space="preserve">ביום 10.2.2020 הגישה האישה בקשה לעיכוב ביצוע של ההחלטה לגבי מכירת מתחם </w:t>
      </w:r>
      <w:r w:rsidR="000B4ED6">
        <w:rPr>
          <w:rFonts w:ascii="David" w:hAnsi="David" w:cs="David"/>
          <w:sz w:val="24"/>
          <w:szCs w:val="24"/>
          <w:rtl/>
        </w:rPr>
        <w:t>***</w:t>
      </w:r>
      <w:r>
        <w:rPr>
          <w:rFonts w:ascii="David" w:hAnsi="David" w:cs="David"/>
          <w:sz w:val="24"/>
          <w:szCs w:val="24"/>
          <w:rtl/>
        </w:rPr>
        <w:t xml:space="preserve"> באמצעות הכונס בשוק החופשי. בסעיף 5 לבקשה מציינת המבקשת כי זכויותיה במתחם הן מחצית מכלל המתחם כולו. בהמשך ציינה האישה כי כונס הנכסים לא הציג נתונים בדבר ההשלכות המיסויות של מכירת המתחם: "בהתייחס לעובדה שמדובר בנכס שרק חלקו רשום ע"ש חברה בע"מ וחלקו האחר, [...] ניתן להעברה אגב גירושין ולא מעלה שאלות מיסויות כלל הואיל והוא רשום על שם הצדדים". </w:t>
      </w:r>
    </w:p>
    <w:p w:rsidR="00F1605A" w:rsidRDefault="00F1605A" w:rsidP="00F1605A">
      <w:pPr>
        <w:pStyle w:val="ac"/>
        <w:rPr>
          <w:rFonts w:cs="David"/>
          <w:sz w:val="24"/>
          <w:szCs w:val="24"/>
          <w:u w:val="single"/>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העולה מבקשה 44 כי האישה לא רק שיודעת בדיוק מה אופי העסקה הנדרש בהתייחס לאופן הרישום אלא שהיא ערה היטב לכך שיהיו משמעויות מיסוי שונות הנובעות מאופן הרישום, לרבות לכך שלגבי העברת הזכויות מהחברה לרוכש לא תוכר כהעברה אגב גירושין. בשום מקום לא צוין על ידה כי העסקה לא צריכה לכלול את החברה. </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 xml:space="preserve">טיוטת כונס הנכסים לביצוע העסקה מיום 7.1.2021 - </w:t>
      </w:r>
      <w:r>
        <w:rPr>
          <w:rFonts w:cs="David"/>
          <w:sz w:val="24"/>
          <w:szCs w:val="24"/>
          <w:rtl/>
        </w:rPr>
        <w:t xml:space="preserve">ביום 16.11.22 הגיש כונס הנכסים תשובה לבקשה לצירוף ראיות שהגישה האישה (במסגרת בקשה 74). בתשובה זו צירף כונס הנכסים טיוטת הסכם מכר למתחם </w:t>
      </w:r>
      <w:r w:rsidR="000B4ED6">
        <w:rPr>
          <w:rFonts w:cs="David"/>
          <w:sz w:val="24"/>
          <w:szCs w:val="24"/>
          <w:rtl/>
        </w:rPr>
        <w:t>***</w:t>
      </w:r>
      <w:r>
        <w:rPr>
          <w:rFonts w:cs="David"/>
          <w:sz w:val="24"/>
          <w:szCs w:val="24"/>
          <w:rtl/>
        </w:rPr>
        <w:t xml:space="preserve"> שנערכה על ידו והועברה לצדדים ביום 7.1.2021.</w:t>
      </w:r>
    </w:p>
    <w:p w:rsidR="00F1605A" w:rsidRDefault="00F1605A" w:rsidP="00F1605A">
      <w:pPr>
        <w:pStyle w:val="ac"/>
        <w:rPr>
          <w:rFonts w:cs="David"/>
          <w:sz w:val="24"/>
          <w:szCs w:val="24"/>
          <w:highlight w:val="yellow"/>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טיוטה זו של כונס הנכסים נבדקה על ידי כעת בהיבטים הנדרשים להכרעה בבקשה זו. </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מטיוטת ההסכם עולה כי מתחם </w:t>
      </w:r>
      <w:r w:rsidR="000B4ED6">
        <w:rPr>
          <w:rFonts w:cs="David"/>
          <w:sz w:val="24"/>
          <w:szCs w:val="24"/>
          <w:rtl/>
        </w:rPr>
        <w:t>***</w:t>
      </w:r>
      <w:r>
        <w:rPr>
          <w:rFonts w:cs="David"/>
          <w:sz w:val="24"/>
          <w:szCs w:val="24"/>
          <w:rtl/>
        </w:rPr>
        <w:t xml:space="preserve"> הוגדר ככולל את הזכויות של הצדדים ואת הזכויות של החברה. כמו כן בסעיף 1.ב. מוגדר כי האישה מוכרת לאיש את </w:t>
      </w:r>
      <w:r>
        <w:rPr>
          <w:rFonts w:ascii="Miriam" w:hAnsi="Miriam" w:cs="Miriam"/>
          <w:sz w:val="24"/>
          <w:szCs w:val="24"/>
          <w:rtl/>
        </w:rPr>
        <w:t>כל</w:t>
      </w:r>
      <w:r>
        <w:rPr>
          <w:rFonts w:cs="David"/>
          <w:sz w:val="24"/>
          <w:szCs w:val="24"/>
          <w:rtl/>
        </w:rPr>
        <w:t xml:space="preserve"> זכויותיה במתחם </w:t>
      </w:r>
      <w:r w:rsidR="000B4ED6">
        <w:rPr>
          <w:rFonts w:cs="David"/>
          <w:sz w:val="24"/>
          <w:szCs w:val="24"/>
          <w:rtl/>
        </w:rPr>
        <w:t>***</w:t>
      </w:r>
      <w:r>
        <w:rPr>
          <w:rFonts w:cs="David"/>
          <w:sz w:val="24"/>
          <w:szCs w:val="24"/>
          <w:rtl/>
        </w:rPr>
        <w:t xml:space="preserve">. קרי בסופה של העסקה היה ברור כי </w:t>
      </w:r>
      <w:r>
        <w:rPr>
          <w:rFonts w:ascii="Miriam" w:hAnsi="Miriam" w:cs="Miriam"/>
          <w:sz w:val="24"/>
          <w:szCs w:val="24"/>
          <w:rtl/>
        </w:rPr>
        <w:t>כל</w:t>
      </w:r>
      <w:r>
        <w:rPr>
          <w:rFonts w:cs="David"/>
          <w:sz w:val="24"/>
          <w:szCs w:val="24"/>
          <w:rtl/>
        </w:rPr>
        <w:t xml:space="preserve"> הזכויות עוברות לאיש. בסעיף 1.ד. לטיוטת ההסכם מצויין כי: "</w:t>
      </w:r>
      <w:r>
        <w:rPr>
          <w:rFonts w:cs="David"/>
          <w:b/>
          <w:bCs/>
          <w:sz w:val="24"/>
          <w:szCs w:val="24"/>
          <w:rtl/>
        </w:rPr>
        <w:t>יובהר, כי בסיסו של הסכם זה לעניין חבויות הצדדים, כי בכל חבות ככל שתחול על האשה בעסקת מקרקעין לרבות היטל השבחה, הכשרות חריגות בניה (אם על דרך של קבלת היתר בניה ו/או הריסתן), יחולו על הצדדים בחלקים שווים</w:t>
      </w:r>
      <w:r>
        <w:rPr>
          <w:rFonts w:cs="David"/>
          <w:sz w:val="24"/>
          <w:szCs w:val="24"/>
          <w:rtl/>
        </w:rPr>
        <w:t xml:space="preserve">". </w:t>
      </w:r>
    </w:p>
    <w:p w:rsidR="00F1605A" w:rsidRDefault="00F1605A" w:rsidP="00F1605A">
      <w:pPr>
        <w:pStyle w:val="ac"/>
        <w:rPr>
          <w:rFonts w:cs="David"/>
          <w:sz w:val="24"/>
          <w:szCs w:val="24"/>
        </w:rPr>
      </w:pPr>
    </w:p>
    <w:p w:rsidR="00F1605A" w:rsidRDefault="00F1605A" w:rsidP="00F1605A">
      <w:pPr>
        <w:pStyle w:val="ac"/>
        <w:spacing w:line="360" w:lineRule="auto"/>
        <w:ind w:left="567"/>
        <w:jc w:val="both"/>
        <w:rPr>
          <w:rFonts w:cs="David"/>
          <w:sz w:val="24"/>
          <w:szCs w:val="24"/>
          <w:rtl/>
        </w:rPr>
      </w:pPr>
      <w:r>
        <w:rPr>
          <w:rFonts w:cs="David"/>
          <w:sz w:val="24"/>
          <w:szCs w:val="24"/>
          <w:rtl/>
        </w:rPr>
        <w:t xml:space="preserve">בסעיף 2(א) לטיוטת ההסכם מוגדרות זכויות האישה במתחם </w:t>
      </w:r>
      <w:r w:rsidR="000B4ED6">
        <w:rPr>
          <w:rFonts w:cs="David"/>
          <w:sz w:val="24"/>
          <w:szCs w:val="24"/>
          <w:rtl/>
        </w:rPr>
        <w:t>***</w:t>
      </w:r>
      <w:r>
        <w:rPr>
          <w:rFonts w:cs="David"/>
          <w:sz w:val="24"/>
          <w:szCs w:val="24"/>
          <w:rtl/>
        </w:rPr>
        <w:t xml:space="preserve"> ומצויין שם מפורשות כי מלוא זכויותיה של האישה כוללת את זכויותיה בחברה, וכי היא מעבירה את הזכויות שרשומות על שמה וכן את הזכויות שקמות לה מכוח פסק הדין הרכושי בחברה </w:t>
      </w:r>
      <w:r>
        <w:rPr>
          <w:rFonts w:cs="David"/>
          <w:sz w:val="24"/>
          <w:szCs w:val="24"/>
          <w:u w:val="single"/>
          <w:rtl/>
        </w:rPr>
        <w:t>לידי האיש</w:t>
      </w:r>
      <w:r>
        <w:rPr>
          <w:rFonts w:cs="David"/>
          <w:sz w:val="24"/>
          <w:szCs w:val="24"/>
          <w:rtl/>
        </w:rPr>
        <w:t>:</w:t>
      </w:r>
    </w:p>
    <w:p w:rsidR="00F1605A" w:rsidRDefault="00D446EE" w:rsidP="00F1605A">
      <w:pPr>
        <w:pStyle w:val="ac"/>
        <w:spacing w:line="360" w:lineRule="auto"/>
        <w:ind w:left="567"/>
        <w:jc w:val="both"/>
        <w:rPr>
          <w:rFonts w:cs="David"/>
          <w:sz w:val="24"/>
          <w:szCs w:val="24"/>
          <w:rtl/>
        </w:rPr>
      </w:pPr>
      <w:r>
        <w:rPr>
          <w:rFonts w:cs="David"/>
          <w:noProof/>
          <w:sz w:val="24"/>
          <w:szCs w:val="24"/>
        </w:rPr>
        <w:drawing>
          <wp:inline distT="0" distB="0" distL="0" distR="0">
            <wp:extent cx="4333240" cy="2616200"/>
            <wp:effectExtent l="0" t="0" r="0" b="0"/>
            <wp:docPr id="23" name="תמונה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240" cy="2616200"/>
                    </a:xfrm>
                    <a:prstGeom prst="rect">
                      <a:avLst/>
                    </a:prstGeom>
                    <a:noFill/>
                    <a:ln>
                      <a:noFill/>
                    </a:ln>
                  </pic:spPr>
                </pic:pic>
              </a:graphicData>
            </a:graphic>
          </wp:inline>
        </w:drawing>
      </w:r>
      <w:r w:rsidR="00F1605A">
        <w:rPr>
          <w:rFonts w:cs="David"/>
          <w:sz w:val="24"/>
          <w:szCs w:val="24"/>
          <w:rtl/>
        </w:rPr>
        <w:t xml:space="preserve"> </w:t>
      </w: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קרי זכויות האישה במתחם </w:t>
      </w:r>
      <w:r w:rsidR="000B4ED6">
        <w:rPr>
          <w:rFonts w:cs="David"/>
          <w:sz w:val="24"/>
          <w:szCs w:val="24"/>
          <w:rtl/>
        </w:rPr>
        <w:t>***</w:t>
      </w:r>
      <w:r>
        <w:rPr>
          <w:rFonts w:cs="David"/>
          <w:sz w:val="24"/>
          <w:szCs w:val="24"/>
          <w:rtl/>
        </w:rPr>
        <w:t xml:space="preserve"> הוגדרו ככוללות את הזכויות בחברה, וכן הוגדר מפורשות כי </w:t>
      </w:r>
      <w:r>
        <w:rPr>
          <w:rFonts w:cs="David"/>
          <w:sz w:val="24"/>
          <w:szCs w:val="24"/>
          <w:u w:val="single"/>
          <w:rtl/>
        </w:rPr>
        <w:t>האישה מעבירה לאיש</w:t>
      </w:r>
      <w:r>
        <w:rPr>
          <w:rFonts w:cs="David"/>
          <w:sz w:val="24"/>
          <w:szCs w:val="24"/>
          <w:rtl/>
        </w:rPr>
        <w:t xml:space="preserve"> את הזכויות הרשומות על שמה </w:t>
      </w:r>
      <w:r>
        <w:rPr>
          <w:rFonts w:cs="David"/>
          <w:sz w:val="24"/>
          <w:szCs w:val="24"/>
          <w:u w:val="single"/>
          <w:rtl/>
        </w:rPr>
        <w:t>ואת</w:t>
      </w:r>
      <w:r>
        <w:rPr>
          <w:rFonts w:cs="David"/>
          <w:sz w:val="24"/>
          <w:szCs w:val="24"/>
          <w:rtl/>
        </w:rPr>
        <w:t xml:space="preserve"> הזכויות המגיעות לה בחברה על פי פסק הדין הרכושי. עוד צויין כי התמורה היא עבור </w:t>
      </w:r>
      <w:r>
        <w:rPr>
          <w:rFonts w:cs="David"/>
          <w:sz w:val="24"/>
          <w:szCs w:val="24"/>
          <w:u w:val="single"/>
          <w:rtl/>
        </w:rPr>
        <w:t>כלל</w:t>
      </w:r>
      <w:r>
        <w:rPr>
          <w:rFonts w:cs="David"/>
          <w:sz w:val="24"/>
          <w:szCs w:val="24"/>
          <w:rtl/>
        </w:rPr>
        <w:t xml:space="preserve"> הזכויות של האישה. </w:t>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בהמשך בסעיף 5(יא) צויין לגבי אישורי העיריה כי לגבי חלקיה של האישה במתחם – האחריות על האישה, ועל חלקיה של החברה – על שני הצדדים. </w:t>
      </w:r>
    </w:p>
    <w:p w:rsidR="00F1605A" w:rsidRDefault="00F1605A" w:rsidP="00F1605A">
      <w:pPr>
        <w:spacing w:line="360" w:lineRule="auto"/>
        <w:jc w:val="both"/>
        <w:rPr>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לכך יש להוסיף כי בעת שכונס הנכסים העביר לב"כ הצדדים את טיוטת נוסח ההסכם הוא מציין מפורשות כי נדרשת העברה כפולה: מהאישה לאיש בזכויות הפרטיות והעברה נוספת הנוגעת לחברה:</w:t>
      </w:r>
    </w:p>
    <w:p w:rsidR="00F1605A" w:rsidRDefault="00F1605A" w:rsidP="00F1605A">
      <w:pPr>
        <w:spacing w:line="360" w:lineRule="auto"/>
        <w:jc w:val="both"/>
        <w:rPr>
          <w:rtl/>
        </w:rPr>
      </w:pPr>
      <w:r>
        <w:rPr>
          <w:rtl/>
        </w:rPr>
        <w:tab/>
      </w:r>
      <w:r w:rsidR="00D446EE">
        <w:rPr>
          <w:rtl/>
        </w:rPr>
        <w:tab/>
      </w:r>
      <w:r w:rsidR="00D446EE">
        <w:drawing>
          <wp:inline distT="0" distB="0" distL="0" distR="0">
            <wp:extent cx="3458845" cy="1097280"/>
            <wp:effectExtent l="0" t="0" r="8255" b="7620"/>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8845" cy="1097280"/>
                    </a:xfrm>
                    <a:prstGeom prst="rect">
                      <a:avLst/>
                    </a:prstGeom>
                    <a:noFill/>
                    <a:ln>
                      <a:noFill/>
                    </a:ln>
                  </pic:spPr>
                </pic:pic>
              </a:graphicData>
            </a:graphic>
          </wp:inline>
        </w:drawing>
      </w: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 xml:space="preserve">הערות ב"כ האישה להסכם שערך כונס הנכסים מיום 30.5.2021 - </w:t>
      </w:r>
      <w:r>
        <w:rPr>
          <w:rFonts w:cs="David"/>
          <w:sz w:val="24"/>
          <w:szCs w:val="24"/>
          <w:rtl/>
        </w:rPr>
        <w:t>בנספח 19 לתשובת הכונס מיום 16.11.22 בבקשה לצירוף ראיות שהגישה האישה (במסגרת בקשה 74) צירף כונס הנכסים את הערות ב"כ האישה להסכם המכר שהועבר על ידו לב"כ הצדדים, הערות בעקוב אחר שינויים מיום 30.5.2021. עיון בהערות אלה מעלה כי העיקרון של איזון החברה במסגרת ההסכם היה מוסכם על האישה. גם העיקרון של תשלום המיסים בחלקים שווים היה מוסכם (למעט מחיקה של תשלום הנוגע להפקעה ולחריגות בניה).</w:t>
      </w:r>
    </w:p>
    <w:p w:rsidR="00F1605A" w:rsidRDefault="00F1605A" w:rsidP="00F1605A">
      <w:pPr>
        <w:pStyle w:val="ac"/>
        <w:spacing w:line="360" w:lineRule="auto"/>
        <w:ind w:left="567"/>
        <w:jc w:val="both"/>
        <w:rPr>
          <w:rFonts w:cs="David"/>
          <w:sz w:val="24"/>
          <w:szCs w:val="24"/>
          <w:highlight w:val="yellow"/>
          <w:rtl/>
        </w:rPr>
      </w:pPr>
    </w:p>
    <w:p w:rsidR="00F1605A" w:rsidRDefault="00F1605A" w:rsidP="006B3EC6">
      <w:pPr>
        <w:pStyle w:val="ac"/>
        <w:numPr>
          <w:ilvl w:val="0"/>
          <w:numId w:val="1"/>
        </w:numPr>
        <w:spacing w:line="360" w:lineRule="auto"/>
        <w:jc w:val="both"/>
        <w:rPr>
          <w:rFonts w:cs="David"/>
          <w:sz w:val="24"/>
          <w:szCs w:val="24"/>
          <w:rtl/>
        </w:rPr>
      </w:pPr>
      <w:r>
        <w:rPr>
          <w:rFonts w:cs="David"/>
          <w:sz w:val="24"/>
          <w:szCs w:val="24"/>
          <w:rtl/>
        </w:rPr>
        <w:t xml:space="preserve">בנוסף, כונס הנכסים ציין עוד בתשובה מיום 16.11.22 כי במשך </w:t>
      </w:r>
      <w:r>
        <w:rPr>
          <w:rFonts w:cs="David"/>
          <w:sz w:val="24"/>
          <w:szCs w:val="24"/>
          <w:u w:val="single"/>
          <w:rtl/>
        </w:rPr>
        <w:t>שנה וחצי</w:t>
      </w:r>
      <w:r>
        <w:rPr>
          <w:rFonts w:cs="David"/>
          <w:sz w:val="24"/>
          <w:szCs w:val="24"/>
          <w:rtl/>
        </w:rPr>
        <w:t xml:space="preserve"> מאז שהעביר את הטיוטה הנ"ל איש </w:t>
      </w:r>
      <w:r w:rsidR="005D0781">
        <w:rPr>
          <w:rFonts w:cs="David" w:hint="cs"/>
          <w:sz w:val="24"/>
          <w:szCs w:val="24"/>
          <w:rtl/>
        </w:rPr>
        <w:t>מהצדדים</w:t>
      </w:r>
      <w:r w:rsidR="005D0781">
        <w:rPr>
          <w:rFonts w:cs="David"/>
          <w:sz w:val="24"/>
          <w:szCs w:val="24"/>
          <w:rtl/>
        </w:rPr>
        <w:t xml:space="preserve"> </w:t>
      </w:r>
      <w:r>
        <w:rPr>
          <w:rFonts w:cs="David"/>
          <w:sz w:val="24"/>
          <w:szCs w:val="24"/>
          <w:rtl/>
        </w:rPr>
        <w:t xml:space="preserve">לא העלה כל טרוניה או בקשה לתיקון להגדרת זכויות האישה במתחם </w:t>
      </w:r>
      <w:r w:rsidR="000B4ED6">
        <w:rPr>
          <w:rFonts w:cs="David"/>
          <w:sz w:val="24"/>
          <w:szCs w:val="24"/>
          <w:rtl/>
        </w:rPr>
        <w:t>***</w:t>
      </w:r>
      <w:r>
        <w:rPr>
          <w:rFonts w:cs="David"/>
          <w:sz w:val="24"/>
          <w:szCs w:val="24"/>
          <w:rtl/>
        </w:rPr>
        <w:t xml:space="preserve"> כפי שהוגדר על ידו בהסכם. </w:t>
      </w:r>
    </w:p>
    <w:p w:rsidR="00F1605A" w:rsidRDefault="00F1605A" w:rsidP="00F1605A">
      <w:pPr>
        <w:pStyle w:val="ac"/>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 xml:space="preserve">בקשה 56 – בקשת האיש לגבי אופן מכירת מתחם </w:t>
      </w:r>
      <w:r w:rsidR="000B4ED6">
        <w:rPr>
          <w:rFonts w:cs="David"/>
          <w:sz w:val="24"/>
          <w:szCs w:val="24"/>
          <w:u w:val="single"/>
          <w:rtl/>
        </w:rPr>
        <w:t>***</w:t>
      </w:r>
      <w:r>
        <w:rPr>
          <w:rFonts w:cs="David"/>
          <w:sz w:val="24"/>
          <w:szCs w:val="24"/>
          <w:u w:val="single"/>
          <w:rtl/>
        </w:rPr>
        <w:t xml:space="preserve"> –</w:t>
      </w:r>
      <w:r>
        <w:rPr>
          <w:rFonts w:cs="David"/>
          <w:sz w:val="24"/>
          <w:szCs w:val="24"/>
          <w:rtl/>
        </w:rPr>
        <w:t xml:space="preserve"> בתגובת האישה מיום 28.2.2021 היא מציינת כי מבחינתה נכרתה העסקה לרכישת הזכויות במתחם (כל הזכויות ללא הבחנה ביניהם):</w:t>
      </w:r>
    </w:p>
    <w:p w:rsidR="00F1605A" w:rsidRDefault="00F1605A" w:rsidP="00F1605A">
      <w:pPr>
        <w:pStyle w:val="ac"/>
        <w:rPr>
          <w:rFonts w:cs="David"/>
          <w:sz w:val="24"/>
          <w:szCs w:val="24"/>
        </w:rPr>
      </w:pPr>
    </w:p>
    <w:p w:rsidR="00F1605A" w:rsidRDefault="00F1605A" w:rsidP="00F1605A">
      <w:pPr>
        <w:pStyle w:val="ac"/>
        <w:spacing w:line="360" w:lineRule="auto"/>
        <w:ind w:left="567"/>
        <w:jc w:val="both"/>
        <w:rPr>
          <w:rFonts w:cs="David"/>
          <w:sz w:val="24"/>
          <w:szCs w:val="24"/>
          <w:rtl/>
        </w:rPr>
      </w:pPr>
      <w:r>
        <w:rPr>
          <w:noProof/>
        </w:rPr>
        <w:lastRenderedPageBreak/>
        <w:drawing>
          <wp:inline distT="0" distB="0" distL="0" distR="0">
            <wp:extent cx="4718685" cy="2406650"/>
            <wp:effectExtent l="0" t="0" r="5715" b="0"/>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8685" cy="2406650"/>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Pr>
      </w:pPr>
      <w:r>
        <w:rPr>
          <w:rFonts w:cs="David"/>
          <w:sz w:val="24"/>
          <w:szCs w:val="24"/>
          <w:rtl/>
        </w:rPr>
        <w:t>[..]</w:t>
      </w:r>
    </w:p>
    <w:p w:rsidR="00F1605A" w:rsidRDefault="00F1605A" w:rsidP="00F1605A">
      <w:pPr>
        <w:pStyle w:val="ac"/>
        <w:spacing w:line="360" w:lineRule="auto"/>
        <w:ind w:left="567"/>
        <w:jc w:val="both"/>
        <w:rPr>
          <w:rFonts w:cs="David"/>
          <w:sz w:val="24"/>
          <w:szCs w:val="24"/>
          <w:rtl/>
        </w:rPr>
      </w:pPr>
      <w:r>
        <w:rPr>
          <w:noProof/>
        </w:rPr>
        <w:drawing>
          <wp:inline distT="0" distB="0" distL="0" distR="0">
            <wp:extent cx="4537710" cy="560705"/>
            <wp:effectExtent l="0" t="0" r="0"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7710" cy="56070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r>
        <w:rPr>
          <w:rFonts w:cs="David"/>
          <w:sz w:val="24"/>
          <w:szCs w:val="24"/>
          <w:rtl/>
        </w:rPr>
        <w:t>בנספח 2 לתגובתה של האישה צורף  מכתב מב"כ של האישה לכונס הנכסים מיום 16.12.2020 ובו מציין ב"כ האישה:</w:t>
      </w:r>
    </w:p>
    <w:p w:rsidR="00F1605A" w:rsidRDefault="00F1605A" w:rsidP="00F1605A">
      <w:pPr>
        <w:pStyle w:val="ac"/>
        <w:spacing w:line="360" w:lineRule="auto"/>
        <w:ind w:left="567"/>
        <w:jc w:val="both"/>
        <w:rPr>
          <w:rFonts w:cs="David"/>
          <w:sz w:val="24"/>
          <w:szCs w:val="24"/>
          <w:u w:val="single"/>
          <w:rtl/>
        </w:rPr>
      </w:pPr>
    </w:p>
    <w:p w:rsidR="00717100" w:rsidRDefault="00717100" w:rsidP="00F1605A">
      <w:pPr>
        <w:pStyle w:val="ac"/>
        <w:spacing w:line="360" w:lineRule="auto"/>
        <w:ind w:left="567"/>
        <w:jc w:val="both"/>
        <w:rPr>
          <w:rFonts w:cs="David"/>
          <w:sz w:val="24"/>
          <w:szCs w:val="24"/>
          <w:u w:val="single"/>
          <w:rtl/>
        </w:rPr>
      </w:pPr>
      <w:r>
        <w:rPr>
          <w:rFonts w:cs="David"/>
          <w:noProof/>
          <w:sz w:val="24"/>
          <w:szCs w:val="24"/>
          <w:u w:val="single"/>
        </w:rPr>
        <w:drawing>
          <wp:inline distT="0" distB="0" distL="0" distR="0">
            <wp:extent cx="3951605" cy="1463040"/>
            <wp:effectExtent l="0" t="0" r="0" b="3810"/>
            <wp:docPr id="25" name="תמונה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1605" cy="1463040"/>
                    </a:xfrm>
                    <a:prstGeom prst="rect">
                      <a:avLst/>
                    </a:prstGeom>
                    <a:noFill/>
                    <a:ln>
                      <a:noFill/>
                    </a:ln>
                  </pic:spPr>
                </pic:pic>
              </a:graphicData>
            </a:graphic>
          </wp:inline>
        </w:drawing>
      </w:r>
    </w:p>
    <w:p w:rsidR="00F1605A" w:rsidRDefault="00F1605A" w:rsidP="00F1605A">
      <w:pPr>
        <w:pStyle w:val="ac"/>
        <w:rPr>
          <w:rFonts w:ascii="David" w:hAnsi="David" w:cs="David"/>
          <w:sz w:val="24"/>
          <w:szCs w:val="24"/>
          <w:rtl/>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לאחר קבלת תשובות הצדדים ביום 16.3.2021 נדחתה בקשתו של האיש. במסגרת ההחלטה צויין כי: המבקש הציע את הצעתו הסופית (לרכישת המתחם) ככל מציע אחר והעתרות לבקשתו: "</w:t>
      </w:r>
      <w:r>
        <w:rPr>
          <w:rFonts w:ascii="David" w:hAnsi="David" w:cs="David"/>
          <w:b/>
          <w:bCs/>
          <w:sz w:val="24"/>
          <w:szCs w:val="24"/>
          <w:rtl/>
        </w:rPr>
        <w:t xml:space="preserve">תסיג את התיק שנים אחורה ומשמעותה התחלת הכינוס לגבי מתחם </w:t>
      </w:r>
      <w:r w:rsidR="000B4ED6">
        <w:rPr>
          <w:rFonts w:ascii="David" w:hAnsi="David" w:cs="David"/>
          <w:b/>
          <w:bCs/>
          <w:sz w:val="24"/>
          <w:szCs w:val="24"/>
          <w:rtl/>
        </w:rPr>
        <w:t>***</w:t>
      </w:r>
      <w:r>
        <w:rPr>
          <w:rFonts w:ascii="David" w:hAnsi="David" w:cs="David"/>
          <w:b/>
          <w:bCs/>
          <w:sz w:val="24"/>
          <w:szCs w:val="24"/>
          <w:rtl/>
        </w:rPr>
        <w:t xml:space="preserve"> מראשיתו – לכך אין עילה ואין סיבה. ככל שהמבקש יחזור בו מהצעתו שהיא ההצעה שזכתה יוכל הכונס לפעול באמצעים הנתונים לו לרבות לעניין הערובה שהופקדה כתנאי להשתתפות במכר הכינוס</w:t>
      </w:r>
      <w:r>
        <w:rPr>
          <w:rFonts w:ascii="David" w:hAnsi="David" w:cs="David"/>
          <w:sz w:val="24"/>
          <w:szCs w:val="24"/>
          <w:rtl/>
        </w:rPr>
        <w:t>".</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cs="David"/>
          <w:sz w:val="24"/>
          <w:szCs w:val="24"/>
          <w:rtl/>
        </w:rPr>
        <w:t>העולה</w:t>
      </w:r>
      <w:r>
        <w:rPr>
          <w:rFonts w:ascii="David" w:hAnsi="David" w:cs="David"/>
          <w:sz w:val="24"/>
          <w:szCs w:val="24"/>
          <w:rtl/>
        </w:rPr>
        <w:t xml:space="preserve"> מבקשה 56 כי האישה מתייחסת בצורה ברורה ומפורשת לכל הזכויות במתחם כמכלול ועל פי הערכת השמאות. האישה עתרה כי בית המשפט ייקבע כי ההסכם תקף וצירפה את עמדתה כי בכל מס או היטל מכל סוג שיוטל על הצדדים הם יתחלקו בו באופן שווה. כמו כן </w:t>
      </w:r>
      <w:r>
        <w:rPr>
          <w:rFonts w:ascii="David" w:hAnsi="David" w:cs="David"/>
          <w:sz w:val="24"/>
          <w:szCs w:val="24"/>
          <w:rtl/>
        </w:rPr>
        <w:lastRenderedPageBreak/>
        <w:t xml:space="preserve">ביקשה כי בפסיקתא יצויין כי ההעברה הינה אגב גירושין. עמדתה של האישה התקבלה ובקשת האיש נדחתה. העולה מכך כי האישה עמדה על כך שההסכם יבוצע, כי ההסכם יתייחס לכל הזכויות במתחם וכי הצדדים ישאו בחיובי המס בחלקים שווים. ויובהר שוב כי במסגרת השומה נכללו הזכויות של החברה. האישה לא עשתה הפרדה בין הזכויות ויתרה מכך עמדה על מימוש הזכויות כמכלול בעת המכירה.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 xml:space="preserve">בקשה 58 – בקשת האיש למתן הוראות לגבי הסכם המכר - </w:t>
      </w:r>
      <w:r>
        <w:rPr>
          <w:rFonts w:cs="David"/>
          <w:sz w:val="24"/>
          <w:szCs w:val="24"/>
          <w:rtl/>
        </w:rPr>
        <w:t>ביום 29.7.2021 הגיש האיש בקשה למתן הוראות הנוגעת להסכם המכר (בקשה 58). ביום 29.9.2021 הגישה האישה תגובתה לבקשה. בין היתר צויינו על ידי האישה הדברים הבאים הרלוונטיים לעניין הדורש הכרעה כעת. בין היתר ציינה האישה מפורשות כי: "</w:t>
      </w:r>
      <w:r>
        <w:rPr>
          <w:rFonts w:cs="David"/>
          <w:b/>
          <w:bCs/>
          <w:sz w:val="24"/>
          <w:szCs w:val="24"/>
          <w:rtl/>
        </w:rPr>
        <w:t>הסכימה להיענות להצעה</w:t>
      </w:r>
      <w:r>
        <w:rPr>
          <w:rFonts w:cs="David"/>
          <w:sz w:val="24"/>
          <w:szCs w:val="24"/>
          <w:rtl/>
        </w:rPr>
        <w:t>" של האיש לרכישת זכויותיה במתחם בסכום של 4 מיליון ₪, ואף הדגישה כי מדובר בהצעה בלתי חוזרת:</w:t>
      </w:r>
    </w:p>
    <w:p w:rsidR="00F1605A" w:rsidRDefault="00717100" w:rsidP="00F1605A">
      <w:pPr>
        <w:pStyle w:val="ac"/>
        <w:spacing w:line="360" w:lineRule="auto"/>
        <w:ind w:left="567"/>
        <w:jc w:val="both"/>
        <w:rPr>
          <w:rFonts w:cs="David"/>
          <w:sz w:val="24"/>
          <w:szCs w:val="24"/>
        </w:rPr>
      </w:pPr>
      <w:r>
        <w:rPr>
          <w:rFonts w:cs="David"/>
          <w:noProof/>
          <w:sz w:val="24"/>
          <w:szCs w:val="24"/>
        </w:rPr>
        <w:drawing>
          <wp:inline distT="0" distB="0" distL="0" distR="0">
            <wp:extent cx="4413250" cy="1375410"/>
            <wp:effectExtent l="0" t="0" r="6350" b="0"/>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3250" cy="1375410"/>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r>
        <w:rPr>
          <w:rFonts w:cs="David"/>
          <w:sz w:val="24"/>
          <w:szCs w:val="24"/>
          <w:rtl/>
        </w:rPr>
        <w:t>בנספח 2 צורף שוב (שכבר צורף על ידה בבקשה קודמת) מכתבו של ב"כ של האישה, עו"ד דליהו מיום 16.12.2020 ובו צויין כי האישה מסכימה לרכישת המתחם בהתאם להצעת האיש בסכום המוצע וכאשר התנאי שלה כי כל מס שיועל על הצדדים יתחלק ביניהם באופן שווה. כמו כן ביקשה כי בפסיקתא יצוין כי ההעברה היא אגב גירושין:</w:t>
      </w:r>
    </w:p>
    <w:p w:rsidR="00F1605A" w:rsidRDefault="00717100" w:rsidP="00F1605A">
      <w:pPr>
        <w:pStyle w:val="ac"/>
        <w:spacing w:line="360" w:lineRule="auto"/>
        <w:ind w:left="567"/>
        <w:jc w:val="both"/>
        <w:rPr>
          <w:rFonts w:cs="David"/>
          <w:sz w:val="24"/>
          <w:szCs w:val="24"/>
          <w:rtl/>
        </w:rPr>
      </w:pPr>
      <w:r>
        <w:rPr>
          <w:rFonts w:cs="David"/>
          <w:noProof/>
          <w:sz w:val="24"/>
          <w:szCs w:val="24"/>
        </w:rPr>
        <w:drawing>
          <wp:inline distT="0" distB="0" distL="0" distR="0">
            <wp:extent cx="3888105" cy="1296035"/>
            <wp:effectExtent l="0" t="0" r="0" b="0"/>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8105" cy="129603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spacing w:line="360" w:lineRule="auto"/>
        <w:ind w:left="567"/>
        <w:jc w:val="both"/>
        <w:rPr>
          <w:rFonts w:cs="David"/>
          <w:sz w:val="24"/>
          <w:szCs w:val="24"/>
          <w:rtl/>
        </w:rPr>
      </w:pPr>
      <w:r>
        <w:rPr>
          <w:rFonts w:cs="David"/>
          <w:sz w:val="24"/>
          <w:szCs w:val="24"/>
          <w:rtl/>
        </w:rPr>
        <w:t xml:space="preserve">במענה למכתב זה של עו"ד דליהו, נשלח מכתב מב"כ של האיש ביום 24.12.2020 – שצורף כנספח 3 לתשובת האישה בבקשה 58 – במכתב זה מאשר האיש כי יש הסכמה שהצדדים ישאו בחלקים שווים בכל מס שיוטל עליהם במסגרת העברת הזכויות של האישה לאיש במתחם. כמו כן מציין כי אין מניעה לציין כי ההעברה היא אגב גירושין אולם יש לקחת בחשבון כי שלטונות המס הם שמכריעים על הסיווג: </w:t>
      </w:r>
    </w:p>
    <w:p w:rsidR="00F1605A" w:rsidRDefault="00F1605A" w:rsidP="00F1605A">
      <w:pPr>
        <w:pStyle w:val="ac"/>
        <w:spacing w:line="360" w:lineRule="auto"/>
        <w:ind w:left="567"/>
        <w:jc w:val="both"/>
        <w:rPr>
          <w:rFonts w:cs="David"/>
          <w:sz w:val="24"/>
          <w:szCs w:val="24"/>
          <w:rtl/>
        </w:rPr>
      </w:pPr>
    </w:p>
    <w:p w:rsidR="00F54C6E" w:rsidRDefault="00F54C6E" w:rsidP="00F1605A">
      <w:pPr>
        <w:pStyle w:val="ac"/>
        <w:spacing w:line="360" w:lineRule="auto"/>
        <w:ind w:left="567"/>
        <w:jc w:val="both"/>
        <w:rPr>
          <w:rFonts w:cs="David"/>
          <w:sz w:val="24"/>
          <w:szCs w:val="24"/>
          <w:rtl/>
        </w:rPr>
      </w:pPr>
    </w:p>
    <w:p w:rsidR="00F1605A" w:rsidRDefault="00F54C6E" w:rsidP="00F1605A">
      <w:pPr>
        <w:pStyle w:val="ac"/>
        <w:spacing w:line="360" w:lineRule="auto"/>
        <w:ind w:left="567"/>
        <w:jc w:val="both"/>
        <w:rPr>
          <w:rFonts w:cs="David"/>
          <w:sz w:val="24"/>
          <w:szCs w:val="24"/>
          <w:rtl/>
        </w:rPr>
      </w:pPr>
      <w:r>
        <w:rPr>
          <w:rFonts w:cs="David" w:hint="cs"/>
          <w:noProof/>
          <w:sz w:val="24"/>
          <w:szCs w:val="24"/>
        </w:rPr>
        <w:lastRenderedPageBreak/>
        <w:drawing>
          <wp:inline distT="0" distB="0" distL="0" distR="0">
            <wp:extent cx="4635500" cy="2003425"/>
            <wp:effectExtent l="0" t="0" r="0" b="0"/>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5500" cy="200342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r>
        <w:rPr>
          <w:rFonts w:cs="David"/>
          <w:sz w:val="24"/>
          <w:szCs w:val="24"/>
          <w:rtl/>
        </w:rPr>
        <w:t>בהמשך ציינה האישה כי בדקה את עלויות המיסוי של העסקה והתייעצה עם עו"ד להקטנת שיעור המס לשני הצדדים:</w:t>
      </w:r>
    </w:p>
    <w:p w:rsidR="00F1605A" w:rsidRDefault="00F1605A" w:rsidP="00F1605A">
      <w:pPr>
        <w:pStyle w:val="ac"/>
        <w:spacing w:line="360" w:lineRule="auto"/>
        <w:ind w:left="567"/>
        <w:jc w:val="both"/>
        <w:rPr>
          <w:rFonts w:cs="David"/>
          <w:sz w:val="24"/>
          <w:szCs w:val="24"/>
          <w:rtl/>
        </w:rPr>
      </w:pPr>
      <w:r>
        <w:rPr>
          <w:noProof/>
        </w:rPr>
        <w:drawing>
          <wp:inline distT="0" distB="0" distL="0" distR="0">
            <wp:extent cx="4727575" cy="724535"/>
            <wp:effectExtent l="0" t="0" r="0"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7575" cy="72453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טיוטת הסכם מכר עם הערות שצורף על ידי האישה -</w:t>
      </w:r>
      <w:r>
        <w:rPr>
          <w:rFonts w:cs="David"/>
          <w:sz w:val="24"/>
          <w:szCs w:val="24"/>
          <w:rtl/>
        </w:rPr>
        <w:t xml:space="preserve"> בנספח 7 לתגובת האישה מיום 29.2.2021 לבקשה 58 </w:t>
      </w:r>
      <w:r>
        <w:rPr>
          <w:rFonts w:cs="David"/>
          <w:sz w:val="24"/>
          <w:szCs w:val="24"/>
          <w:u w:val="single"/>
          <w:rtl/>
        </w:rPr>
        <w:t>צירפה האישה הסכם מטעמה</w:t>
      </w:r>
      <w:r>
        <w:rPr>
          <w:rFonts w:cs="David"/>
          <w:sz w:val="24"/>
          <w:szCs w:val="24"/>
          <w:rtl/>
        </w:rPr>
        <w:t>. בשל חשיבות הדברים המעידים על אומד דעתה ורצונה של האישה בזמן אמת להלן מספר סעיפים רלוונטיים:</w:t>
      </w:r>
    </w:p>
    <w:p w:rsidR="00F1605A" w:rsidRDefault="00F1605A" w:rsidP="00F1605A">
      <w:pPr>
        <w:pStyle w:val="ac"/>
        <w:spacing w:line="360" w:lineRule="auto"/>
        <w:ind w:left="567"/>
        <w:jc w:val="both"/>
        <w:rPr>
          <w:rFonts w:cs="David"/>
          <w:sz w:val="24"/>
          <w:szCs w:val="24"/>
          <w:rtl/>
        </w:rPr>
      </w:pPr>
      <w:r>
        <w:rPr>
          <w:rFonts w:cs="David"/>
          <w:sz w:val="24"/>
          <w:szCs w:val="24"/>
          <w:rtl/>
        </w:rPr>
        <w:t>כבר ב"והואיל" של ההסכם מציינת האישה כי הגדרת המתחם כוללת גם חלק בבעלות הצדדים וחלק בבעלות החברה, וכי בהתאם לפסק דין קודם יש לבצע איזון משאבים הנוגע גם לחברה:</w:t>
      </w:r>
    </w:p>
    <w:p w:rsidR="00F1605A" w:rsidRDefault="00F1605A" w:rsidP="00F1605A">
      <w:pPr>
        <w:pStyle w:val="ac"/>
        <w:spacing w:line="360" w:lineRule="auto"/>
        <w:ind w:left="567"/>
        <w:jc w:val="both"/>
        <w:rPr>
          <w:rFonts w:cs="David"/>
          <w:sz w:val="24"/>
          <w:szCs w:val="24"/>
          <w:highlight w:val="yellow"/>
          <w:rtl/>
        </w:rPr>
      </w:pPr>
    </w:p>
    <w:p w:rsidR="00F54C6E" w:rsidRPr="006B3EC6" w:rsidRDefault="00F54C6E" w:rsidP="00F1605A">
      <w:pPr>
        <w:pStyle w:val="ac"/>
        <w:spacing w:line="360" w:lineRule="auto"/>
        <w:ind w:left="567"/>
        <w:jc w:val="both"/>
        <w:rPr>
          <w:rFonts w:cs="David"/>
          <w:sz w:val="24"/>
          <w:szCs w:val="24"/>
          <w:rtl/>
        </w:rPr>
      </w:pPr>
      <w:r w:rsidRPr="006B3EC6">
        <w:rPr>
          <w:rFonts w:cs="David"/>
          <w:noProof/>
          <w:sz w:val="24"/>
          <w:szCs w:val="24"/>
        </w:rPr>
        <w:drawing>
          <wp:inline distT="0" distB="0" distL="0" distR="0">
            <wp:extent cx="4476750" cy="763270"/>
            <wp:effectExtent l="0" t="0" r="0" b="0"/>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76750" cy="763270"/>
                    </a:xfrm>
                    <a:prstGeom prst="rect">
                      <a:avLst/>
                    </a:prstGeom>
                    <a:noFill/>
                    <a:ln>
                      <a:noFill/>
                    </a:ln>
                  </pic:spPr>
                </pic:pic>
              </a:graphicData>
            </a:graphic>
          </wp:inline>
        </w:drawing>
      </w:r>
    </w:p>
    <w:p w:rsidR="00F54C6E" w:rsidRDefault="00F54C6E" w:rsidP="00F1605A">
      <w:pPr>
        <w:pStyle w:val="ac"/>
        <w:spacing w:line="360" w:lineRule="auto"/>
        <w:ind w:left="567"/>
        <w:jc w:val="both"/>
        <w:rPr>
          <w:rFonts w:cs="David"/>
          <w:sz w:val="24"/>
          <w:szCs w:val="24"/>
          <w:highlight w:val="yellow"/>
          <w:rtl/>
        </w:rPr>
      </w:pPr>
    </w:p>
    <w:p w:rsidR="00F1605A" w:rsidRDefault="00F1605A" w:rsidP="00F1605A">
      <w:pPr>
        <w:pStyle w:val="ac"/>
        <w:spacing w:line="360" w:lineRule="auto"/>
        <w:ind w:left="567"/>
        <w:jc w:val="both"/>
        <w:rPr>
          <w:rFonts w:cs="David"/>
          <w:sz w:val="24"/>
          <w:szCs w:val="24"/>
          <w:highlight w:val="yellow"/>
          <w:rtl/>
        </w:rPr>
      </w:pPr>
    </w:p>
    <w:p w:rsidR="00F1605A" w:rsidRDefault="00F1605A" w:rsidP="00F1605A">
      <w:pPr>
        <w:pStyle w:val="ac"/>
        <w:spacing w:line="360" w:lineRule="auto"/>
        <w:ind w:left="567"/>
        <w:jc w:val="both"/>
        <w:rPr>
          <w:rFonts w:cs="David"/>
          <w:sz w:val="24"/>
          <w:szCs w:val="24"/>
          <w:rtl/>
        </w:rPr>
      </w:pPr>
      <w:r>
        <w:rPr>
          <w:rFonts w:cs="David"/>
          <w:sz w:val="24"/>
          <w:szCs w:val="24"/>
          <w:rtl/>
        </w:rPr>
        <w:t>בסעיף 1.ד מציינת האישה כי "בכל חבות שתחול על האישה" יחולו על הצדדים בחלקים שווים:</w:t>
      </w:r>
    </w:p>
    <w:p w:rsidR="00F1605A" w:rsidRDefault="00F1605A" w:rsidP="00F1605A">
      <w:pPr>
        <w:pStyle w:val="ac"/>
        <w:spacing w:line="360" w:lineRule="auto"/>
        <w:ind w:left="567"/>
        <w:jc w:val="both"/>
        <w:rPr>
          <w:rFonts w:cs="David"/>
          <w:sz w:val="24"/>
          <w:szCs w:val="24"/>
          <w:highlight w:val="yellow"/>
          <w:rtl/>
        </w:rPr>
      </w:pPr>
      <w:r>
        <w:rPr>
          <w:noProof/>
        </w:rPr>
        <w:drawing>
          <wp:inline distT="0" distB="0" distL="0" distR="0">
            <wp:extent cx="3924935" cy="396875"/>
            <wp:effectExtent l="0" t="0" r="0" b="317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4935" cy="39687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r>
        <w:rPr>
          <w:rFonts w:cs="David"/>
          <w:sz w:val="24"/>
          <w:szCs w:val="24"/>
          <w:rtl/>
        </w:rPr>
        <w:t>בסעיף 2 להסכם מטעמה של האישה היא כוללת בזכויותיה גם את חלקה בזכויות בחברה במקרקעין:</w:t>
      </w:r>
    </w:p>
    <w:p w:rsidR="00365777" w:rsidRPr="006B3EC6" w:rsidRDefault="00365777" w:rsidP="00F1605A">
      <w:pPr>
        <w:pStyle w:val="ac"/>
        <w:spacing w:line="360" w:lineRule="auto"/>
        <w:ind w:left="567"/>
        <w:jc w:val="both"/>
        <w:rPr>
          <w:rFonts w:cs="David"/>
          <w:sz w:val="24"/>
          <w:szCs w:val="24"/>
          <w:rtl/>
        </w:rPr>
      </w:pPr>
      <w:r w:rsidRPr="006B3EC6">
        <w:rPr>
          <w:rFonts w:cs="David"/>
          <w:noProof/>
          <w:sz w:val="24"/>
          <w:szCs w:val="24"/>
        </w:rPr>
        <w:lastRenderedPageBreak/>
        <w:drawing>
          <wp:inline distT="0" distB="0" distL="0" distR="0">
            <wp:extent cx="4429125" cy="874395"/>
            <wp:effectExtent l="0" t="0" r="9525" b="1905"/>
            <wp:docPr id="31" name="תמונה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9125" cy="87439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r>
        <w:rPr>
          <w:rFonts w:cs="David"/>
          <w:sz w:val="24"/>
          <w:szCs w:val="24"/>
          <w:rtl/>
        </w:rPr>
        <w:t>בסעיף ט.י"א שבה האישה ומציינת כי תהיה חבות במס בחלקים שווים:</w:t>
      </w:r>
    </w:p>
    <w:p w:rsidR="00F1605A" w:rsidRDefault="00F1605A" w:rsidP="00F1605A">
      <w:pPr>
        <w:pStyle w:val="ac"/>
        <w:spacing w:line="360" w:lineRule="auto"/>
        <w:ind w:left="567"/>
        <w:jc w:val="both"/>
        <w:rPr>
          <w:rFonts w:cs="David"/>
          <w:sz w:val="24"/>
          <w:szCs w:val="24"/>
          <w:highlight w:val="yellow"/>
          <w:rtl/>
        </w:rPr>
      </w:pPr>
      <w:r>
        <w:rPr>
          <w:noProof/>
        </w:rPr>
        <w:drawing>
          <wp:inline distT="0" distB="0" distL="0" distR="0">
            <wp:extent cx="4451350" cy="543560"/>
            <wp:effectExtent l="0" t="0" r="6350" b="889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1350" cy="543560"/>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יצויין כי בתשובת האישה לבקשה 58 מציינת האישה לפתע את התנגדותה לתשלום מס בהעברה מהחברה לטובת האיש. טענה זו לא הועלתה עד עתה והיא במהותה מנוגדת אף לאינטרס של האישה לאיזון מלוא הזכויות במקרקעין ובתמורה מלאה:</w:t>
      </w:r>
    </w:p>
    <w:p w:rsidR="00F1605A" w:rsidRDefault="00F1605A" w:rsidP="00F1605A">
      <w:pPr>
        <w:pStyle w:val="ac"/>
        <w:spacing w:line="360" w:lineRule="auto"/>
        <w:ind w:left="567"/>
        <w:jc w:val="both"/>
        <w:rPr>
          <w:rFonts w:cs="David"/>
          <w:sz w:val="24"/>
          <w:szCs w:val="24"/>
          <w:rtl/>
        </w:rPr>
      </w:pPr>
      <w:r>
        <w:rPr>
          <w:noProof/>
        </w:rPr>
        <w:drawing>
          <wp:inline distT="0" distB="0" distL="0" distR="0">
            <wp:extent cx="3639049" cy="777203"/>
            <wp:effectExtent l="0" t="0" r="0" b="444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9325" cy="781533"/>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בנספח 8 לתגובת האישה בבקשה 58 צירפה האישה מכתב מב"כ מיום 19.7.21 ובו ציינה ב"כ את הדברים הבאים הנוגעים להיבטי המיסוי, ולא רק שהיא שבה על העיקרון של חלוקה </w:t>
      </w:r>
      <w:r>
        <w:rPr>
          <w:rFonts w:cs="David"/>
          <w:sz w:val="24"/>
          <w:szCs w:val="24"/>
          <w:u w:val="single"/>
          <w:rtl/>
        </w:rPr>
        <w:t>שווה</w:t>
      </w:r>
      <w:r>
        <w:rPr>
          <w:rFonts w:cs="David"/>
          <w:sz w:val="24"/>
          <w:szCs w:val="24"/>
          <w:rtl/>
        </w:rPr>
        <w:t xml:space="preserve"> אלא שעולה כי היא ערה היטב לאפשרות שהעסקה לא תסווג כהעברה אגב גירושין ועל כן עמדה על כך שהמיסים ישולמו בחלקים שווים:</w:t>
      </w:r>
    </w:p>
    <w:p w:rsidR="00F1605A" w:rsidRDefault="00365777" w:rsidP="00F1605A">
      <w:pPr>
        <w:pStyle w:val="ac"/>
        <w:spacing w:line="360" w:lineRule="auto"/>
        <w:ind w:left="567"/>
        <w:jc w:val="both"/>
        <w:rPr>
          <w:rFonts w:cs="David"/>
          <w:sz w:val="24"/>
          <w:szCs w:val="24"/>
          <w:rtl/>
        </w:rPr>
      </w:pPr>
      <w:r>
        <w:rPr>
          <w:rFonts w:cs="David"/>
          <w:noProof/>
          <w:sz w:val="24"/>
          <w:szCs w:val="24"/>
        </w:rPr>
        <w:drawing>
          <wp:inline distT="0" distB="0" distL="0" distR="0">
            <wp:extent cx="3554095" cy="2345690"/>
            <wp:effectExtent l="0" t="0" r="8255" b="0"/>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54095" cy="2345690"/>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העולה מבקשה 58  כי ההתייחסות של האישה היא למכירת </w:t>
      </w:r>
      <w:r>
        <w:rPr>
          <w:rFonts w:ascii="Miriam" w:hAnsi="Miriam" w:cs="Miriam"/>
          <w:sz w:val="24"/>
          <w:szCs w:val="24"/>
          <w:rtl/>
        </w:rPr>
        <w:t>כלל</w:t>
      </w:r>
      <w:r>
        <w:rPr>
          <w:rFonts w:cs="David"/>
          <w:sz w:val="24"/>
          <w:szCs w:val="24"/>
          <w:rtl/>
        </w:rPr>
        <w:t xml:space="preserve"> הזכויות במתחם לרבות של החברה. האישה מצרפת נספחים מהם עולה כי היא עותרת לחלוקה שווה במיסים. יתרה מכך, </w:t>
      </w:r>
      <w:r>
        <w:rPr>
          <w:rFonts w:cs="David"/>
          <w:sz w:val="24"/>
          <w:szCs w:val="24"/>
          <w:rtl/>
        </w:rPr>
        <w:lastRenderedPageBreak/>
        <w:t xml:space="preserve">לגבי החלוקה השווה של המיסים בין הצדדים, האישה אף רואה בכך הליכה לקראתה מאחר והמיסים עליה כ'מוכרת' לפי האמור על ידה, אמורים להיות גבוהים יותר. על כן יש לה אינטרס לחלוקה שווה של המיסים ולא חלוקה לפי מיסים שמוטלים על 'מוכרת' ומיסים שמוטלים על 'קונה'. </w:t>
      </w:r>
    </w:p>
    <w:p w:rsidR="00F1605A" w:rsidRDefault="00F1605A" w:rsidP="00F1605A">
      <w:pPr>
        <w:pStyle w:val="ac"/>
        <w:spacing w:line="360" w:lineRule="auto"/>
        <w:ind w:left="567"/>
        <w:jc w:val="both"/>
        <w:rPr>
          <w:rFonts w:cs="David"/>
          <w:sz w:val="24"/>
          <w:szCs w:val="24"/>
        </w:rPr>
      </w:pPr>
      <w:r>
        <w:rPr>
          <w:rFonts w:cs="David"/>
          <w:sz w:val="24"/>
          <w:szCs w:val="24"/>
          <w:rtl/>
        </w:rPr>
        <w:t xml:space="preserve">האישה הביעה את דעתה שיש חבות במיסים והביעה נכונותה לשאת עם המבקש במיסים בחלקים שווים. האישה מאשרת שבדקה את היבטי המס ועותרת לביצוע המכר.  </w:t>
      </w:r>
    </w:p>
    <w:p w:rsidR="00F1605A" w:rsidRDefault="00F1605A" w:rsidP="00F1605A">
      <w:pPr>
        <w:pStyle w:val="ac"/>
        <w:spacing w:line="360" w:lineRule="auto"/>
        <w:ind w:left="567"/>
        <w:jc w:val="both"/>
        <w:rPr>
          <w:rFonts w:cs="David"/>
          <w:sz w:val="24"/>
          <w:szCs w:val="24"/>
          <w:rtl/>
        </w:rPr>
      </w:pPr>
      <w:r>
        <w:rPr>
          <w:rFonts w:cs="David"/>
          <w:sz w:val="24"/>
          <w:szCs w:val="24"/>
          <w:rtl/>
        </w:rPr>
        <w:t xml:space="preserve">ההסתייגות שמועלת כעת לראשונה לגבי החברה אינה מנומקת מלבד טענה כללית כי אינה מסכימה להעברה הנוספת אולם אין בה התייחסות כיצד ניתן לבצע את מלוא האיזון במתחם ללא הכללת החברה והאיזון בה (כפי שכבר נקבע בשורה של החלטות). אין גם כל נימוק כיצד רואה האישה מצב שבו מצד אחד יש לה זכות לקבל תמורה על כלל הזכויות במגרש לרבות זכויותיה בחברה אולם מצד שני מתנגדת "להשתתף" בהעברה שתסיים את האיזון בין הצדדים מהחברה לאיש. אין כל התייחסות לעמדה הקודמת של האישה כי אם היא רוצה לרכוש את חלקו של האיש ברי כי הדבר יכלול גם את החלק של העברה מהחברה אליה. </w:t>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יודגש כי בהסכם שהועבר על ידי ב"כ האישה כתוב מפורשות כי כל הזכויות שלה יועבר לאיש (ולא חברה). האישה לא הראתה טיוטה אחרת שבה ציינה כי הזכויות שלה לא כוללות את החלק של החברה. הגדרת הזכות ככוללת את החברה הייתה חלק מאיזון המשאבים בין הצדדים. בהתאם לכך היה ברור לשני הצדדים וזאת עולה מהראיות לעיל, כי במתחם </w:t>
      </w:r>
      <w:r w:rsidR="000B4ED6">
        <w:rPr>
          <w:rFonts w:cs="David"/>
          <w:sz w:val="24"/>
          <w:szCs w:val="24"/>
          <w:rtl/>
        </w:rPr>
        <w:t>***</w:t>
      </w:r>
      <w:r>
        <w:rPr>
          <w:rFonts w:cs="David"/>
          <w:sz w:val="24"/>
          <w:szCs w:val="24"/>
          <w:rtl/>
        </w:rPr>
        <w:t xml:space="preserve"> נכללות זכויותיה של האישה בחברה באמצעות החזקת החברה במקרקעין. בכל המקומות זכויותיה של האישה – כמוגדרות על ידי הכונס ועל ידי האיש וכמוגדרות על ידי האישה – כוללות את הזכויות הפרטיות ואת זכויות החברה. אף טיוטה של האישה ובאף הערה שלה היא לא ציינה כי יש להותיר מצב של זכויות משותפות בחברה. שהרי מזה מספר שנים ברור לשני הצדדים כי האיזון במקרקעין במתחם </w:t>
      </w:r>
      <w:r w:rsidR="000B4ED6">
        <w:rPr>
          <w:rFonts w:cs="David"/>
          <w:sz w:val="24"/>
          <w:szCs w:val="24"/>
          <w:rtl/>
        </w:rPr>
        <w:t>***</w:t>
      </w:r>
      <w:r>
        <w:rPr>
          <w:rFonts w:cs="David"/>
          <w:sz w:val="24"/>
          <w:szCs w:val="24"/>
          <w:rtl/>
        </w:rPr>
        <w:t xml:space="preserve"> כולל את זכויות החברה ומהווה איזון סופי של הזכויות בחברה. </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b/>
          <w:bCs/>
          <w:sz w:val="24"/>
          <w:szCs w:val="24"/>
          <w:rtl/>
        </w:rPr>
      </w:pPr>
      <w:r>
        <w:rPr>
          <w:rFonts w:cs="David"/>
          <w:b/>
          <w:bCs/>
          <w:sz w:val="24"/>
          <w:szCs w:val="24"/>
          <w:rtl/>
        </w:rPr>
        <w:t xml:space="preserve">ביום 24.12.21 (בקשה 65) אושר הסכם המכר של מתחם </w:t>
      </w:r>
      <w:r w:rsidR="000B4ED6">
        <w:rPr>
          <w:rFonts w:cs="David"/>
          <w:b/>
          <w:bCs/>
          <w:sz w:val="24"/>
          <w:szCs w:val="24"/>
          <w:rtl/>
        </w:rPr>
        <w:t>***</w:t>
      </w:r>
      <w:r>
        <w:rPr>
          <w:rFonts w:cs="David"/>
          <w:b/>
          <w:bCs/>
          <w:sz w:val="24"/>
          <w:szCs w:val="24"/>
          <w:rtl/>
        </w:rPr>
        <w:t xml:space="preserve">. </w:t>
      </w:r>
      <w:r>
        <w:rPr>
          <w:rFonts w:cs="David"/>
          <w:sz w:val="24"/>
          <w:szCs w:val="24"/>
          <w:rtl/>
        </w:rPr>
        <w:t xml:space="preserve">זאת לאחר עוד מספר החלטות לגבי מחלוקות שהיו בנושאי המיסוי ונושאים נוספים. </w:t>
      </w:r>
    </w:p>
    <w:p w:rsidR="00F1605A" w:rsidRDefault="00F1605A" w:rsidP="00F1605A">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u w:val="single"/>
          <w:rtl/>
        </w:rPr>
        <w:t xml:space="preserve">בקשה 71 – בקשת האישה לקבלת כספי תמורה ממכירת מתחם </w:t>
      </w:r>
      <w:r w:rsidR="000B4ED6">
        <w:rPr>
          <w:rFonts w:cs="David"/>
          <w:sz w:val="24"/>
          <w:szCs w:val="24"/>
          <w:u w:val="single"/>
          <w:rtl/>
        </w:rPr>
        <w:t>***</w:t>
      </w:r>
      <w:r>
        <w:rPr>
          <w:rFonts w:cs="David"/>
          <w:sz w:val="24"/>
          <w:szCs w:val="24"/>
          <w:u w:val="single"/>
          <w:rtl/>
        </w:rPr>
        <w:t xml:space="preserve"> –</w:t>
      </w:r>
      <w:r>
        <w:rPr>
          <w:rFonts w:cs="David"/>
          <w:sz w:val="24"/>
          <w:szCs w:val="24"/>
          <w:rtl/>
        </w:rPr>
        <w:t xml:space="preserve"> ביום 4.4.22 הגישה האישה בקשה דחופה כי בימ"ש יורה על העברת כספי התמורה בגין העברת הזכויות במתחם </w:t>
      </w:r>
      <w:r w:rsidR="000B4ED6">
        <w:rPr>
          <w:rFonts w:cs="David"/>
          <w:sz w:val="24"/>
          <w:szCs w:val="24"/>
          <w:rtl/>
        </w:rPr>
        <w:t>***</w:t>
      </w:r>
      <w:r>
        <w:rPr>
          <w:rFonts w:cs="David"/>
          <w:sz w:val="24"/>
          <w:szCs w:val="24"/>
          <w:rtl/>
        </w:rPr>
        <w:t xml:space="preserve"> לידיה בסך של 3.5 מיליון ₪. במסגרת בקשה זו מתייחסת האישה ישירות לסוגיית המיסוי ואף מציינת כי דיווחה לרשויות המס אודות הסכם המכר וכי המניעה להשלמת חלק זה הינה בעטיו של האיש. בהמשך היא מציינת כי </w:t>
      </w:r>
      <w:r>
        <w:rPr>
          <w:rFonts w:cs="David"/>
          <w:b/>
          <w:bCs/>
          <w:sz w:val="24"/>
          <w:szCs w:val="24"/>
          <w:rtl/>
        </w:rPr>
        <w:t xml:space="preserve">החלק שצפוי להיות מחויב במס הוא החלק המועבר מהחברה לאיש </w:t>
      </w:r>
      <w:r>
        <w:rPr>
          <w:rFonts w:cs="David"/>
          <w:sz w:val="24"/>
          <w:szCs w:val="24"/>
          <w:rtl/>
        </w:rPr>
        <w:t xml:space="preserve">ובהמשך הסעיף מתייחסת ישירות לחיוב המס הצפוי </w:t>
      </w:r>
      <w:r>
        <w:rPr>
          <w:rFonts w:cs="David"/>
          <w:sz w:val="24"/>
          <w:szCs w:val="24"/>
          <w:u w:val="single"/>
          <w:rtl/>
        </w:rPr>
        <w:t>עבורה</w:t>
      </w:r>
      <w:r>
        <w:rPr>
          <w:rFonts w:cs="David"/>
          <w:sz w:val="24"/>
          <w:szCs w:val="24"/>
          <w:rtl/>
        </w:rPr>
        <w:t>:</w:t>
      </w:r>
    </w:p>
    <w:p w:rsidR="00F1605A" w:rsidRDefault="00F1605A" w:rsidP="00F1605A">
      <w:pPr>
        <w:pStyle w:val="ac"/>
        <w:spacing w:line="360" w:lineRule="auto"/>
        <w:ind w:left="567"/>
        <w:jc w:val="both"/>
        <w:rPr>
          <w:rFonts w:cs="David"/>
          <w:sz w:val="24"/>
          <w:szCs w:val="24"/>
        </w:rPr>
      </w:pPr>
      <w:r>
        <w:rPr>
          <w:noProof/>
        </w:rPr>
        <w:lastRenderedPageBreak/>
        <w:drawing>
          <wp:inline distT="0" distB="0" distL="0" distR="0">
            <wp:extent cx="4934585" cy="4572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4585" cy="457200"/>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Pr>
      </w:pPr>
      <w:r>
        <w:rPr>
          <w:noProof/>
        </w:rPr>
        <w:drawing>
          <wp:inline distT="0" distB="0" distL="0" distR="0">
            <wp:extent cx="4934585" cy="1768475"/>
            <wp:effectExtent l="0" t="0" r="0" b="317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4585" cy="176847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b/>
          <w:bCs/>
          <w:sz w:val="24"/>
          <w:szCs w:val="24"/>
          <w:rtl/>
        </w:rPr>
      </w:pPr>
      <w:r>
        <w:rPr>
          <w:noProof/>
        </w:rPr>
        <w:drawing>
          <wp:inline distT="0" distB="0" distL="0" distR="0">
            <wp:extent cx="4416425" cy="1475105"/>
            <wp:effectExtent l="0" t="0" r="317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16425" cy="1475105"/>
                    </a:xfrm>
                    <a:prstGeom prst="rect">
                      <a:avLst/>
                    </a:prstGeom>
                    <a:noFill/>
                    <a:ln>
                      <a:noFill/>
                    </a:ln>
                  </pic:spPr>
                </pic:pic>
              </a:graphicData>
            </a:graphic>
          </wp:inline>
        </w:drawing>
      </w: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ביום 10.5.22 התקבלה בקשתה של האישה באופן חלקי והוריתי על העברת מיליון ₪ מכספי התמורה לידיה. </w:t>
      </w:r>
    </w:p>
    <w:p w:rsidR="008C0633" w:rsidRDefault="008C0633" w:rsidP="008C0633">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העולה מבקשה 71 כי האישה ידעה היטב על החלוקה של העיסקה לשני חלקים והייתה ערה לסוגיית המיסוי השונה. היא ביקשה לקבל את מרבית כספי התמורה וציינה מפורשות כי המיסוי יהיה שונה בהיבט של החברה, ואף ציינה סכום שהיא סבורה שיהיה חלקה בתשלום המס.</w:t>
      </w:r>
    </w:p>
    <w:p w:rsidR="00F1605A" w:rsidRDefault="00F1605A" w:rsidP="00F1605A">
      <w:pPr>
        <w:pStyle w:val="ae"/>
        <w:numPr>
          <w:ilvl w:val="0"/>
          <w:numId w:val="1"/>
        </w:numPr>
        <w:shd w:val="clear" w:color="auto" w:fill="auto"/>
        <w:spacing w:line="360" w:lineRule="auto"/>
        <w:jc w:val="both"/>
        <w:rPr>
          <w:rFonts w:cs="David"/>
          <w:sz w:val="24"/>
          <w:szCs w:val="24"/>
          <w:u w:val="none"/>
          <w:rtl/>
        </w:rPr>
      </w:pPr>
      <w:r>
        <w:rPr>
          <w:rFonts w:cs="David"/>
          <w:b w:val="0"/>
          <w:bCs w:val="0"/>
          <w:sz w:val="24"/>
          <w:szCs w:val="24"/>
          <w:rtl/>
        </w:rPr>
        <w:t xml:space="preserve">תביעת האישה להתחשבנות לגבי דמי שכירות במתחם </w:t>
      </w:r>
      <w:r w:rsidR="000B4ED6">
        <w:rPr>
          <w:rFonts w:cs="David"/>
          <w:b w:val="0"/>
          <w:bCs w:val="0"/>
          <w:sz w:val="24"/>
          <w:szCs w:val="24"/>
          <w:rtl/>
        </w:rPr>
        <w:t>***</w:t>
      </w:r>
      <w:r>
        <w:rPr>
          <w:rFonts w:cs="David"/>
          <w:b w:val="0"/>
          <w:bCs w:val="0"/>
          <w:sz w:val="24"/>
          <w:szCs w:val="24"/>
          <w:rtl/>
        </w:rPr>
        <w:t xml:space="preserve"> –</w:t>
      </w:r>
      <w:r>
        <w:rPr>
          <w:rFonts w:cs="David"/>
          <w:b w:val="0"/>
          <w:bCs w:val="0"/>
          <w:sz w:val="24"/>
          <w:szCs w:val="24"/>
          <w:u w:val="none"/>
          <w:rtl/>
        </w:rPr>
        <w:t xml:space="preserve"> בנוסף, ביום 30.12.2020 הגישה האישה את תלה"מ 70878-12/20 לגבי התחשבנות בין הצדדים על כספי השכירויות ממתחם </w:t>
      </w:r>
      <w:r w:rsidR="000B4ED6">
        <w:rPr>
          <w:rFonts w:cs="David"/>
          <w:b w:val="0"/>
          <w:bCs w:val="0"/>
          <w:sz w:val="24"/>
          <w:szCs w:val="24"/>
          <w:u w:val="none"/>
          <w:rtl/>
        </w:rPr>
        <w:t>***</w:t>
      </w:r>
      <w:r>
        <w:rPr>
          <w:rFonts w:cs="David"/>
          <w:b w:val="0"/>
          <w:bCs w:val="0"/>
          <w:sz w:val="24"/>
          <w:szCs w:val="24"/>
          <w:u w:val="none"/>
          <w:rtl/>
        </w:rPr>
        <w:t xml:space="preserve">. בין היתר בכתב התביעה מציינת האישה מפורשות כי ההתייחסות הינה </w:t>
      </w:r>
      <w:r>
        <w:rPr>
          <w:rFonts w:cs="David"/>
          <w:b w:val="0"/>
          <w:bCs w:val="0"/>
          <w:sz w:val="24"/>
          <w:szCs w:val="24"/>
          <w:rtl/>
        </w:rPr>
        <w:t>לכלל</w:t>
      </w:r>
      <w:r>
        <w:rPr>
          <w:rFonts w:cs="David"/>
          <w:b w:val="0"/>
          <w:bCs w:val="0"/>
          <w:sz w:val="24"/>
          <w:szCs w:val="24"/>
          <w:u w:val="none"/>
          <w:rtl/>
        </w:rPr>
        <w:t xml:space="preserve"> המתחם:</w:t>
      </w:r>
    </w:p>
    <w:p w:rsidR="00F1605A" w:rsidRDefault="00F1605A" w:rsidP="00F1605A">
      <w:pPr>
        <w:pStyle w:val="ae"/>
        <w:shd w:val="clear" w:color="auto" w:fill="auto"/>
        <w:spacing w:line="360" w:lineRule="auto"/>
        <w:ind w:left="567" w:firstLine="0"/>
        <w:jc w:val="both"/>
        <w:rPr>
          <w:rFonts w:cs="David"/>
          <w:sz w:val="24"/>
          <w:szCs w:val="24"/>
          <w:u w:val="none"/>
          <w:rtl/>
        </w:rPr>
      </w:pPr>
    </w:p>
    <w:p w:rsidR="00365777" w:rsidRDefault="00365777" w:rsidP="00F1605A">
      <w:pPr>
        <w:pStyle w:val="ae"/>
        <w:shd w:val="clear" w:color="auto" w:fill="auto"/>
        <w:spacing w:line="360" w:lineRule="auto"/>
        <w:ind w:left="567" w:firstLine="0"/>
        <w:jc w:val="both"/>
        <w:rPr>
          <w:rFonts w:cs="David"/>
          <w:sz w:val="24"/>
          <w:szCs w:val="24"/>
          <w:u w:val="none"/>
        </w:rPr>
      </w:pPr>
      <w:r>
        <w:rPr>
          <w:rFonts w:cs="David"/>
          <w:noProof/>
          <w:sz w:val="24"/>
          <w:szCs w:val="24"/>
          <w:u w:val="none"/>
          <w:lang w:eastAsia="en-US"/>
        </w:rPr>
        <w:drawing>
          <wp:inline distT="0" distB="0" distL="0" distR="0">
            <wp:extent cx="4612005" cy="739775"/>
            <wp:effectExtent l="0" t="0" r="0" b="3175"/>
            <wp:docPr id="34" name="תמונה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12005" cy="739775"/>
                    </a:xfrm>
                    <a:prstGeom prst="rect">
                      <a:avLst/>
                    </a:prstGeom>
                    <a:noFill/>
                    <a:ln>
                      <a:noFill/>
                    </a:ln>
                  </pic:spPr>
                </pic:pic>
              </a:graphicData>
            </a:graphic>
          </wp:inline>
        </w:drawing>
      </w: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 xml:space="preserve">נדרש היה לפרט באריכות רבה את התנהלות, הטענות והמצגים שהוצגו בפני בית המשפט ועל פני חודשים על גבי חודשים על מנת לבחון לעומק את הטענה לגבי אומד דעתה של האישה. </w:t>
      </w:r>
      <w:r>
        <w:rPr>
          <w:rFonts w:cs="David"/>
          <w:sz w:val="24"/>
          <w:szCs w:val="24"/>
          <w:rtl/>
        </w:rPr>
        <w:lastRenderedPageBreak/>
        <w:t xml:space="preserve">בחינה כוללת זו מעלה כי אומד דעתה של האישה היה כי העסקה היא ביחס לכלל הזכויות במתחם </w:t>
      </w:r>
      <w:r w:rsidR="000B4ED6">
        <w:rPr>
          <w:rFonts w:cs="David"/>
          <w:sz w:val="24"/>
          <w:szCs w:val="24"/>
          <w:rtl/>
        </w:rPr>
        <w:t>***</w:t>
      </w:r>
      <w:r>
        <w:rPr>
          <w:rFonts w:cs="David"/>
          <w:sz w:val="24"/>
          <w:szCs w:val="24"/>
          <w:rtl/>
        </w:rPr>
        <w:t xml:space="preserve"> (הפרטיות ושל החברה) וכן כי לצורך השלמת העסקה נדרש רכיב של העברה בין החברה לאיש, אחרת העסקה לא תושלם. מלכתחילה העסקה הייתה על כלל המתחם ועל כלל הזכויות ועל כן היה ברור לכונס, ולשני הצדדים כי השלמת העסקה משמעה השלמת העברת כלל הזכויות לקונה, במקרה הזה האיש. </w:t>
      </w:r>
    </w:p>
    <w:p w:rsidR="00F1605A" w:rsidRDefault="00F1605A" w:rsidP="00F1605A">
      <w:pPr>
        <w:pStyle w:val="ac"/>
        <w:spacing w:line="360" w:lineRule="auto"/>
        <w:ind w:left="567"/>
        <w:jc w:val="both"/>
        <w:rPr>
          <w:rFonts w:cs="David"/>
          <w:b/>
          <w:bCs/>
          <w:sz w:val="24"/>
          <w:szCs w:val="24"/>
          <w:rtl/>
        </w:rPr>
      </w:pPr>
    </w:p>
    <w:p w:rsidR="00F1605A" w:rsidRDefault="00F1605A" w:rsidP="00F1605A">
      <w:pPr>
        <w:pStyle w:val="ac"/>
        <w:numPr>
          <w:ilvl w:val="0"/>
          <w:numId w:val="1"/>
        </w:numPr>
        <w:spacing w:line="360" w:lineRule="auto"/>
        <w:jc w:val="both"/>
        <w:rPr>
          <w:rFonts w:cs="David"/>
          <w:b/>
          <w:bCs/>
          <w:sz w:val="24"/>
          <w:szCs w:val="24"/>
          <w:rtl/>
        </w:rPr>
      </w:pPr>
      <w:r>
        <w:rPr>
          <w:rFonts w:cs="David"/>
          <w:b/>
          <w:bCs/>
          <w:sz w:val="24"/>
          <w:szCs w:val="24"/>
          <w:rtl/>
        </w:rPr>
        <w:t>על כן לסיכום ההצהרות, הטענות, המסמכים והמצגים של האישה בהתנהלות בתיק המעידים על אומד דעתה בזמן אמת:</w:t>
      </w:r>
    </w:p>
    <w:p w:rsidR="00F1605A" w:rsidRDefault="00F1605A" w:rsidP="00F1605A">
      <w:pPr>
        <w:pStyle w:val="ac"/>
        <w:numPr>
          <w:ilvl w:val="0"/>
          <w:numId w:val="2"/>
        </w:numPr>
        <w:spacing w:after="0" w:line="360" w:lineRule="auto"/>
        <w:ind w:left="1134" w:hanging="567"/>
        <w:jc w:val="both"/>
        <w:rPr>
          <w:rFonts w:cs="David"/>
          <w:b/>
          <w:bCs/>
          <w:sz w:val="24"/>
          <w:szCs w:val="24"/>
        </w:rPr>
      </w:pPr>
      <w:r>
        <w:rPr>
          <w:rFonts w:cs="David"/>
          <w:b/>
          <w:bCs/>
          <w:sz w:val="24"/>
          <w:szCs w:val="24"/>
          <w:rtl/>
        </w:rPr>
        <w:t xml:space="preserve">הוכח כי זכויותיה של האישה במתחם </w:t>
      </w:r>
      <w:r w:rsidR="000B4ED6">
        <w:rPr>
          <w:rFonts w:cs="David"/>
          <w:b/>
          <w:bCs/>
          <w:sz w:val="24"/>
          <w:szCs w:val="24"/>
          <w:rtl/>
        </w:rPr>
        <w:t>***</w:t>
      </w:r>
      <w:r>
        <w:rPr>
          <w:rFonts w:cs="David"/>
          <w:b/>
          <w:bCs/>
          <w:sz w:val="24"/>
          <w:szCs w:val="24"/>
          <w:rtl/>
        </w:rPr>
        <w:t xml:space="preserve"> כוללות את הזכויות הרשומות ישירות על שמה ואת זכויותיה בחברה במסגרת איזון המשאבים בין הצדדים.</w:t>
      </w:r>
    </w:p>
    <w:p w:rsidR="00F1605A" w:rsidRDefault="00F1605A" w:rsidP="00F1605A">
      <w:pPr>
        <w:pStyle w:val="ac"/>
        <w:numPr>
          <w:ilvl w:val="0"/>
          <w:numId w:val="2"/>
        </w:numPr>
        <w:spacing w:after="0" w:line="360" w:lineRule="auto"/>
        <w:ind w:left="1134" w:hanging="567"/>
        <w:jc w:val="both"/>
        <w:rPr>
          <w:rFonts w:cs="David"/>
          <w:b/>
          <w:bCs/>
          <w:sz w:val="24"/>
          <w:szCs w:val="24"/>
        </w:rPr>
      </w:pPr>
      <w:r>
        <w:rPr>
          <w:rFonts w:cs="David"/>
          <w:b/>
          <w:bCs/>
          <w:sz w:val="24"/>
          <w:szCs w:val="24"/>
          <w:rtl/>
        </w:rPr>
        <w:t xml:space="preserve">הוכח כי האישה הסכימה ורצתה את מכירת כלל זכויותיה במתחם </w:t>
      </w:r>
      <w:r w:rsidR="000B4ED6">
        <w:rPr>
          <w:rFonts w:cs="David"/>
          <w:b/>
          <w:bCs/>
          <w:sz w:val="24"/>
          <w:szCs w:val="24"/>
          <w:rtl/>
        </w:rPr>
        <w:t>***</w:t>
      </w:r>
      <w:r>
        <w:rPr>
          <w:rFonts w:cs="David"/>
          <w:b/>
          <w:bCs/>
          <w:sz w:val="24"/>
          <w:szCs w:val="24"/>
          <w:rtl/>
        </w:rPr>
        <w:t xml:space="preserve">. </w:t>
      </w:r>
    </w:p>
    <w:p w:rsidR="00F1605A" w:rsidRDefault="00F1605A" w:rsidP="00F1605A">
      <w:pPr>
        <w:pStyle w:val="ac"/>
        <w:numPr>
          <w:ilvl w:val="0"/>
          <w:numId w:val="2"/>
        </w:numPr>
        <w:spacing w:after="0" w:line="360" w:lineRule="auto"/>
        <w:ind w:left="1134" w:hanging="567"/>
        <w:jc w:val="both"/>
        <w:rPr>
          <w:rFonts w:cs="David"/>
          <w:b/>
          <w:bCs/>
          <w:sz w:val="24"/>
          <w:szCs w:val="24"/>
        </w:rPr>
      </w:pPr>
      <w:r>
        <w:rPr>
          <w:rFonts w:cs="David"/>
          <w:b/>
          <w:bCs/>
          <w:sz w:val="24"/>
          <w:szCs w:val="24"/>
          <w:rtl/>
        </w:rPr>
        <w:t xml:space="preserve">הוכח כי הסכמת האישה כללה גם את רכיב העברת הזכויות בחברה לאיש. </w:t>
      </w:r>
    </w:p>
    <w:p w:rsidR="00F1605A" w:rsidRDefault="00F1605A" w:rsidP="00F1605A">
      <w:pPr>
        <w:pStyle w:val="ac"/>
        <w:numPr>
          <w:ilvl w:val="0"/>
          <w:numId w:val="2"/>
        </w:numPr>
        <w:spacing w:after="0" w:line="360" w:lineRule="auto"/>
        <w:ind w:left="1134" w:hanging="567"/>
        <w:jc w:val="both"/>
        <w:rPr>
          <w:rFonts w:cs="David"/>
          <w:sz w:val="24"/>
          <w:szCs w:val="24"/>
        </w:rPr>
      </w:pPr>
      <w:r>
        <w:rPr>
          <w:rFonts w:cs="David"/>
          <w:b/>
          <w:bCs/>
          <w:sz w:val="24"/>
          <w:szCs w:val="24"/>
          <w:rtl/>
        </w:rPr>
        <w:t xml:space="preserve">הוכח כי אומד הדעת של האישה היה כי הצדדים יחלקו במיסים שווה בשווה (להבדיל מחלוקה של קונה/מוכר), והיא אף עמדה על כך וראתה בכך יתרון עבורה. </w:t>
      </w:r>
      <w:r>
        <w:rPr>
          <w:rFonts w:cs="David"/>
          <w:sz w:val="24"/>
          <w:szCs w:val="24"/>
          <w:rtl/>
        </w:rPr>
        <w:t>עניין זה עוד יידון בנפרד המשך.</w:t>
      </w:r>
    </w:p>
    <w:p w:rsidR="00F1605A" w:rsidRDefault="00F1605A" w:rsidP="00F1605A">
      <w:pPr>
        <w:pStyle w:val="ac"/>
        <w:numPr>
          <w:ilvl w:val="0"/>
          <w:numId w:val="2"/>
        </w:numPr>
        <w:spacing w:after="0" w:line="360" w:lineRule="auto"/>
        <w:ind w:left="1134" w:hanging="567"/>
        <w:jc w:val="both"/>
        <w:rPr>
          <w:rFonts w:cs="David"/>
          <w:b/>
          <w:bCs/>
          <w:sz w:val="24"/>
          <w:szCs w:val="24"/>
        </w:rPr>
      </w:pPr>
      <w:r>
        <w:rPr>
          <w:rFonts w:cs="David"/>
          <w:b/>
          <w:bCs/>
          <w:sz w:val="24"/>
          <w:szCs w:val="24"/>
          <w:rtl/>
        </w:rPr>
        <w:t xml:space="preserve">כמו כן הוכח כי לאישה היה ידוע כי יש אפשרות שהעסקה לא תסווג כהעברה אגב גירושין והיא נתנה הסכמה מפורשת למכר גם בהינתן מצב זה, ואף בדקה את היבטי המיסוי הנדרשים לכך. </w:t>
      </w:r>
    </w:p>
    <w:p w:rsidR="00F1605A" w:rsidRDefault="00F1605A" w:rsidP="00F1605A">
      <w:pPr>
        <w:pStyle w:val="ac"/>
        <w:spacing w:line="360" w:lineRule="auto"/>
        <w:ind w:left="567"/>
        <w:jc w:val="both"/>
        <w:rPr>
          <w:rFonts w:cs="David"/>
          <w:sz w:val="24"/>
          <w:szCs w:val="24"/>
        </w:rPr>
      </w:pPr>
    </w:p>
    <w:p w:rsidR="00F1605A" w:rsidRDefault="00F1605A" w:rsidP="00F1605A">
      <w:pPr>
        <w:pStyle w:val="ac"/>
        <w:spacing w:line="360" w:lineRule="auto"/>
        <w:ind w:left="0"/>
        <w:jc w:val="both"/>
        <w:rPr>
          <w:rFonts w:cs="David"/>
          <w:b/>
          <w:bCs/>
          <w:sz w:val="24"/>
          <w:szCs w:val="24"/>
          <w:u w:val="single"/>
        </w:rPr>
      </w:pPr>
      <w:r>
        <w:rPr>
          <w:rFonts w:cs="David"/>
          <w:b/>
          <w:bCs/>
          <w:sz w:val="24"/>
          <w:szCs w:val="24"/>
          <w:u w:val="single"/>
          <w:rtl/>
        </w:rPr>
        <w:t xml:space="preserve">חקירות הצדדים </w:t>
      </w:r>
    </w:p>
    <w:p w:rsidR="00F1605A" w:rsidRDefault="00F1605A" w:rsidP="00F1605A">
      <w:pPr>
        <w:pStyle w:val="ac"/>
        <w:spacing w:line="360" w:lineRule="auto"/>
        <w:ind w:left="567"/>
        <w:jc w:val="both"/>
        <w:rPr>
          <w:rFonts w:cs="David"/>
          <w:b/>
          <w:bCs/>
          <w:sz w:val="24"/>
          <w:szCs w:val="24"/>
          <w:rtl/>
        </w:rPr>
      </w:pPr>
    </w:p>
    <w:p w:rsidR="00F1605A" w:rsidRDefault="00F1605A" w:rsidP="00F1605A">
      <w:pPr>
        <w:pStyle w:val="ac"/>
        <w:numPr>
          <w:ilvl w:val="0"/>
          <w:numId w:val="1"/>
        </w:numPr>
        <w:spacing w:line="360" w:lineRule="auto"/>
        <w:jc w:val="both"/>
        <w:rPr>
          <w:rFonts w:cs="David"/>
          <w:b/>
          <w:bCs/>
          <w:sz w:val="24"/>
          <w:szCs w:val="24"/>
        </w:rPr>
      </w:pPr>
      <w:r>
        <w:rPr>
          <w:rFonts w:cs="David"/>
          <w:sz w:val="24"/>
          <w:szCs w:val="24"/>
          <w:rtl/>
        </w:rPr>
        <w:t>ביום 30.1.23 התקיים דיון בו נחקרו הצדדים.</w:t>
      </w:r>
    </w:p>
    <w:p w:rsidR="00F1605A" w:rsidRDefault="00F1605A" w:rsidP="00F1605A">
      <w:pPr>
        <w:pStyle w:val="ac"/>
        <w:spacing w:line="360" w:lineRule="auto"/>
        <w:ind w:left="567"/>
        <w:jc w:val="both"/>
        <w:rPr>
          <w:rFonts w:cs="David"/>
          <w:b/>
          <w:bCs/>
          <w:sz w:val="24"/>
          <w:szCs w:val="24"/>
        </w:rPr>
      </w:pP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 xml:space="preserve">במסגרת החקירה נשאל </w:t>
      </w:r>
      <w:r>
        <w:rPr>
          <w:rFonts w:cs="David"/>
          <w:b/>
          <w:bCs/>
          <w:sz w:val="24"/>
          <w:szCs w:val="24"/>
          <w:rtl/>
        </w:rPr>
        <w:t>האיש</w:t>
      </w:r>
      <w:r>
        <w:rPr>
          <w:rFonts w:cs="David"/>
          <w:sz w:val="24"/>
          <w:szCs w:val="24"/>
          <w:rtl/>
        </w:rPr>
        <w:t xml:space="preserve"> האם יש הסכם העברה נוסף בינו לבין החברה לגבי מתחם </w:t>
      </w:r>
      <w:r w:rsidR="000B4ED6">
        <w:rPr>
          <w:rFonts w:cs="David"/>
          <w:sz w:val="24"/>
          <w:szCs w:val="24"/>
          <w:rtl/>
        </w:rPr>
        <w:t>***</w:t>
      </w:r>
      <w:r>
        <w:rPr>
          <w:rFonts w:cs="David"/>
          <w:sz w:val="24"/>
          <w:szCs w:val="24"/>
          <w:rtl/>
        </w:rPr>
        <w:t xml:space="preserve"> והשיב בשלילה. הוא ציין כי מבחינתו מדובר בהסכם אחד (שהוא ההסכם מול הכונס) (ראו: פרוט' מיום 30.1.23, עמ' 50 שורות 10-26).</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b/>
          <w:bCs/>
          <w:sz w:val="24"/>
          <w:szCs w:val="24"/>
          <w:rtl/>
        </w:rPr>
        <w:t>האיש</w:t>
      </w:r>
      <w:r>
        <w:rPr>
          <w:rFonts w:cs="David"/>
          <w:sz w:val="24"/>
          <w:szCs w:val="24"/>
          <w:rtl/>
        </w:rPr>
        <w:t xml:space="preserve"> נשאל לגבי תניית האישה כי ההסכם יהיה רק בהעברה אגב גירושין וכי התנאי של האישה היה כי לא יהיו מיסים לעסקה. לכך השיב האיש כי איש מהצדדים לא יכול היה להציב התניה כזו מאחר וקביעת המס אינה בידיהם (ראו: פרוט' מיום 30.1.23, עמ' 60 שורות 5-24). הוא הדגיש בהמשך כי:</w:t>
      </w:r>
    </w:p>
    <w:p w:rsidR="00F1605A" w:rsidRDefault="00F1605A" w:rsidP="00F1605A">
      <w:pPr>
        <w:pStyle w:val="ac"/>
        <w:spacing w:line="360" w:lineRule="auto"/>
        <w:ind w:left="567"/>
        <w:jc w:val="both"/>
        <w:rPr>
          <w:rFonts w:cs="David"/>
          <w:sz w:val="24"/>
          <w:szCs w:val="24"/>
        </w:rPr>
      </w:pPr>
      <w:r>
        <w:rPr>
          <w:rFonts w:cs="David"/>
          <w:sz w:val="24"/>
          <w:szCs w:val="24"/>
          <w:rtl/>
        </w:rPr>
        <w:t>"</w:t>
      </w:r>
      <w:r>
        <w:rPr>
          <w:rFonts w:cs="David"/>
          <w:b/>
          <w:bCs/>
          <w:sz w:val="24"/>
          <w:szCs w:val="24"/>
          <w:rtl/>
        </w:rPr>
        <w:t xml:space="preserve">[..]בחלק אני יודע שכתוב, יש חלק שהיה ידוע שהוא יהיה אגב גירושים, ויש חלק של המגרש הריק, שהוא לא יכול להיות מבחינת מיסוי אגב גירושין. [...] גם אם אנחנו נרצה, הלוואי והיה" </w:t>
      </w:r>
      <w:r>
        <w:rPr>
          <w:rFonts w:cs="David"/>
          <w:sz w:val="24"/>
          <w:szCs w:val="24"/>
          <w:rtl/>
        </w:rPr>
        <w:t>(ראו: פרוט' מיום 30.1.23, עמ' 63 שורות 31-32, עמ' 64 שורות 1-2).</w:t>
      </w: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lastRenderedPageBreak/>
        <w:t xml:space="preserve">במסגרת החקירה נחקר </w:t>
      </w:r>
      <w:r>
        <w:rPr>
          <w:rFonts w:cs="David"/>
          <w:b/>
          <w:bCs/>
          <w:sz w:val="24"/>
          <w:szCs w:val="24"/>
          <w:rtl/>
        </w:rPr>
        <w:t>האיש</w:t>
      </w:r>
      <w:r>
        <w:rPr>
          <w:rFonts w:cs="David"/>
          <w:sz w:val="24"/>
          <w:szCs w:val="24"/>
          <w:rtl/>
        </w:rPr>
        <w:t xml:space="preserve"> לגבי הסוגיה האם עמד בתנאי ההגשה להתמחרות והאם הפקיד ערובה בשיעור מספיק (ראו: פרוט' מיום 30.1.23, עמ' 52-54). יצוין כי עניין זה לא היה חלק מטענות האישה עד עתה כלל, והוא במישור היחסים לגבי עצם זכייתו של האיש, והוא מהווה הרחבת חזית לטענות האישה לגבי אומד דעתה בכריתת ההסכם. יאמר עוד כי כיוון זה הוא בניגוד להצהרות החוזרות ונשנות של האישה כפי שפורטו עד עתה כי היא חפצה בעסקה ועמדותיה בבקשות שונות כי יש לחייב את האיש לרכוש את חלקה. </w:t>
      </w:r>
    </w:p>
    <w:p w:rsidR="00F1605A" w:rsidRDefault="00F1605A" w:rsidP="00F1605A">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Pr>
      </w:pPr>
      <w:r>
        <w:rPr>
          <w:rFonts w:cs="David"/>
          <w:b/>
          <w:bCs/>
          <w:sz w:val="24"/>
          <w:szCs w:val="24"/>
          <w:rtl/>
        </w:rPr>
        <w:t>הכונס</w:t>
      </w:r>
      <w:r>
        <w:rPr>
          <w:rFonts w:cs="David"/>
          <w:sz w:val="24"/>
          <w:szCs w:val="24"/>
          <w:rtl/>
        </w:rPr>
        <w:t xml:space="preserve"> בסיכומיו ציין כי:</w:t>
      </w:r>
    </w:p>
    <w:p w:rsidR="00F1605A" w:rsidRDefault="00F1605A" w:rsidP="00F1605A">
      <w:pPr>
        <w:pStyle w:val="ac"/>
        <w:rPr>
          <w:rFonts w:cs="David"/>
          <w:sz w:val="24"/>
          <w:szCs w:val="24"/>
        </w:rPr>
      </w:pPr>
      <w:r>
        <w:rPr>
          <w:noProof/>
        </w:rPr>
        <w:drawing>
          <wp:inline distT="0" distB="0" distL="0" distR="0">
            <wp:extent cx="4589145" cy="1673225"/>
            <wp:effectExtent l="0" t="0" r="1905"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9145" cy="1673225"/>
                    </a:xfrm>
                    <a:prstGeom prst="rect">
                      <a:avLst/>
                    </a:prstGeom>
                    <a:noFill/>
                    <a:ln>
                      <a:noFill/>
                    </a:ln>
                  </pic:spPr>
                </pic:pic>
              </a:graphicData>
            </a:graphic>
          </wp:inline>
        </w:drawing>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 xml:space="preserve">בהמשך החקירה נשאל </w:t>
      </w:r>
      <w:r>
        <w:rPr>
          <w:rFonts w:cs="David"/>
          <w:b/>
          <w:bCs/>
          <w:sz w:val="24"/>
          <w:szCs w:val="24"/>
          <w:rtl/>
        </w:rPr>
        <w:t>האיש</w:t>
      </w:r>
      <w:r>
        <w:rPr>
          <w:rFonts w:cs="David"/>
          <w:sz w:val="24"/>
          <w:szCs w:val="24"/>
          <w:rtl/>
        </w:rPr>
        <w:t xml:space="preserve"> לגבי הסוגיה האם שילם את מלוא התמורה במועד שנקבע בהסכם (ראו: פרוט' מיום 30.1.23, עמ' 54-55). בכך למעשה מכוונת האישה כי הפר את ההסכם. יצויין כי עניין זה לא היה חלק מטענות האישה עד עתה והוא במישור הפרת ההסכם, והוא מהווה הרחבת חזית לטענות האישה לגבי אומד דעתה בכריתת ההסכם. טענה זו לא עלתה עת שילם האיש את התמורה ולא לפניה. היא לא עלתה גם עת ביקשה האישה (בבקשה 71) לקבל את מרבית התמורה לידיה. </w:t>
      </w:r>
    </w:p>
    <w:p w:rsidR="00F1605A" w:rsidRDefault="00F1605A" w:rsidP="00F1605A">
      <w:pPr>
        <w:pStyle w:val="ac"/>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sz w:val="24"/>
          <w:szCs w:val="24"/>
          <w:rtl/>
        </w:rPr>
        <w:t xml:space="preserve">במסגרת החקירה אישרה </w:t>
      </w:r>
      <w:r>
        <w:rPr>
          <w:rFonts w:cs="David"/>
          <w:b/>
          <w:bCs/>
          <w:sz w:val="24"/>
          <w:szCs w:val="24"/>
          <w:rtl/>
        </w:rPr>
        <w:t>האישה</w:t>
      </w:r>
      <w:r>
        <w:rPr>
          <w:rFonts w:cs="David"/>
          <w:sz w:val="24"/>
          <w:szCs w:val="24"/>
          <w:rtl/>
        </w:rPr>
        <w:t xml:space="preserve"> כי זכויותיה במתחם </w:t>
      </w:r>
      <w:r w:rsidR="000B4ED6">
        <w:rPr>
          <w:rFonts w:cs="David"/>
          <w:sz w:val="24"/>
          <w:szCs w:val="24"/>
          <w:rtl/>
        </w:rPr>
        <w:t>***</w:t>
      </w:r>
      <w:r>
        <w:rPr>
          <w:rFonts w:cs="David"/>
          <w:sz w:val="24"/>
          <w:szCs w:val="24"/>
          <w:rtl/>
        </w:rPr>
        <w:t xml:space="preserve"> כוללות גם את החלק שרשום על שם החברה:</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"עו"ד זיסמן:  תסתכלי על סעיף 11 במקום על עמוד. מצאת את סעיף 11? יופי. ושמה יש לנו המגרש אשר רשום על שם החברה במתחם </w:t>
      </w:r>
      <w:r w:rsidR="000B4ED6">
        <w:rPr>
          <w:rFonts w:cs="David"/>
          <w:sz w:val="24"/>
          <w:szCs w:val="24"/>
          <w:u w:val="none"/>
          <w:rtl/>
        </w:rPr>
        <w:t>***</w:t>
      </w:r>
      <w:r>
        <w:rPr>
          <w:rFonts w:cs="David"/>
          <w:sz w:val="24"/>
          <w:szCs w:val="24"/>
          <w:u w:val="none"/>
          <w:rtl/>
        </w:rPr>
        <w:t xml:space="preserve"> להלן המגרש, מוסכם כי המגרש יהיה חלק מנכסי המקרקעין בני האיזון, כפי שהוצע והוסכם אף ע"י המבקש בעצמו ולא יחלל בתחשיב האקטואר להערכת העסק, נכון זה כתוב שם?</w:t>
      </w:r>
    </w:p>
    <w:p w:rsidR="00F1605A" w:rsidRDefault="00F1605A" w:rsidP="006B3EC6">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גב' </w:t>
      </w:r>
      <w:r w:rsidR="000B4ED6">
        <w:rPr>
          <w:rFonts w:cs="David" w:hint="cs"/>
          <w:sz w:val="24"/>
          <w:szCs w:val="24"/>
          <w:u w:val="none"/>
          <w:rtl/>
        </w:rPr>
        <w:t>***</w:t>
      </w:r>
      <w:r>
        <w:rPr>
          <w:rFonts w:cs="David"/>
          <w:sz w:val="24"/>
          <w:szCs w:val="24"/>
          <w:u w:val="none"/>
          <w:rtl/>
        </w:rPr>
        <w:t xml:space="preserve">: </w:t>
      </w:r>
      <w:r>
        <w:rPr>
          <w:rFonts w:cs="David"/>
          <w:sz w:val="24"/>
          <w:szCs w:val="24"/>
          <w:u w:val="none"/>
          <w:rtl/>
        </w:rPr>
        <w:tab/>
        <w:t>כתוב, מה שאמרת כתוב.</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עו"ד זיסמן: מצוין, אז בואי נראה מה אנחנו לומדים מהתגובה שלך,אחד, את יודעת שהמגרש רשום על שם החברה.</w:t>
      </w:r>
    </w:p>
    <w:p w:rsidR="00F1605A" w:rsidRDefault="00F1605A" w:rsidP="006B3EC6">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גב' </w:t>
      </w:r>
      <w:r w:rsidR="000B4ED6">
        <w:rPr>
          <w:rFonts w:cs="David" w:hint="cs"/>
          <w:sz w:val="24"/>
          <w:szCs w:val="24"/>
          <w:u w:val="none"/>
          <w:rtl/>
        </w:rPr>
        <w:t>***</w:t>
      </w:r>
      <w:r>
        <w:rPr>
          <w:rFonts w:cs="David"/>
          <w:sz w:val="24"/>
          <w:szCs w:val="24"/>
          <w:u w:val="none"/>
          <w:rtl/>
        </w:rPr>
        <w:t xml:space="preserve">: </w:t>
      </w:r>
      <w:r>
        <w:rPr>
          <w:rFonts w:cs="David"/>
          <w:sz w:val="24"/>
          <w:szCs w:val="24"/>
          <w:u w:val="none"/>
          <w:rtl/>
        </w:rPr>
        <w:tab/>
        <w:t>ברור.</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lastRenderedPageBreak/>
        <w:t>עו"ד זיסמן: שתיים, את יודעת שהתחשיב האקטוארי להערכת שווי העסק לא כלל את המגרש,</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גב' </w:t>
      </w:r>
      <w:r w:rsidR="000B4ED6">
        <w:rPr>
          <w:rFonts w:cs="David"/>
          <w:sz w:val="24"/>
          <w:szCs w:val="24"/>
          <w:u w:val="none"/>
          <w:rtl/>
        </w:rPr>
        <w:t>***</w:t>
      </w:r>
      <w:r>
        <w:rPr>
          <w:rFonts w:cs="David"/>
          <w:sz w:val="24"/>
          <w:szCs w:val="24"/>
          <w:u w:val="none"/>
          <w:rtl/>
        </w:rPr>
        <w:t xml:space="preserve">: </w:t>
      </w:r>
      <w:r>
        <w:rPr>
          <w:rFonts w:cs="David"/>
          <w:sz w:val="24"/>
          <w:szCs w:val="24"/>
          <w:u w:val="none"/>
          <w:rtl/>
        </w:rPr>
        <w:tab/>
        <w:t>נכון.</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עו"ד זיסמן: וידוע לך שהמגרש יאוזן, כחלק מהמקרקעין בני האיזון, עד פה אנחנו צודקות? יופי. אז אם ככה, גם ב-2014 וגם ב-2017, את יודעת שיש לך זכויות בכל מתחם </w:t>
      </w:r>
      <w:r w:rsidR="000B4ED6">
        <w:rPr>
          <w:rFonts w:cs="David"/>
          <w:sz w:val="24"/>
          <w:szCs w:val="24"/>
          <w:u w:val="none"/>
          <w:rtl/>
        </w:rPr>
        <w:t>***</w:t>
      </w:r>
      <w:r>
        <w:rPr>
          <w:rFonts w:cs="David"/>
          <w:sz w:val="24"/>
          <w:szCs w:val="24"/>
          <w:u w:val="none"/>
          <w:rtl/>
        </w:rPr>
        <w:t>, את דורשת זכויות גם במגרש. עד פה נכון?</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גב' </w:t>
      </w:r>
      <w:r w:rsidR="000B4ED6">
        <w:rPr>
          <w:rFonts w:cs="David"/>
          <w:sz w:val="24"/>
          <w:szCs w:val="24"/>
          <w:u w:val="none"/>
          <w:rtl/>
        </w:rPr>
        <w:t>***</w:t>
      </w:r>
      <w:r>
        <w:rPr>
          <w:rFonts w:cs="David"/>
          <w:sz w:val="24"/>
          <w:szCs w:val="24"/>
          <w:u w:val="none"/>
          <w:rtl/>
        </w:rPr>
        <w:t xml:space="preserve">: </w:t>
      </w:r>
      <w:r>
        <w:rPr>
          <w:rFonts w:cs="David"/>
          <w:sz w:val="24"/>
          <w:szCs w:val="24"/>
          <w:u w:val="none"/>
          <w:rtl/>
        </w:rPr>
        <w:tab/>
        <w:t>לא הבנתי את השאלה.</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עו"ד זיסמן: שאת מבקשת זכויות בכל מתחם </w:t>
      </w:r>
      <w:r w:rsidR="000B4ED6">
        <w:rPr>
          <w:rFonts w:cs="David"/>
          <w:sz w:val="24"/>
          <w:szCs w:val="24"/>
          <w:u w:val="none"/>
          <w:rtl/>
        </w:rPr>
        <w:t>***</w:t>
      </w:r>
      <w:r>
        <w:rPr>
          <w:rFonts w:cs="David"/>
          <w:sz w:val="24"/>
          <w:szCs w:val="24"/>
          <w:u w:val="none"/>
          <w:rtl/>
        </w:rPr>
        <w:t>, את מבקשת גם במגרש. זה נכון?</w:t>
      </w:r>
    </w:p>
    <w:p w:rsidR="00F1605A" w:rsidRDefault="00F1605A" w:rsidP="00F1605A">
      <w:pPr>
        <w:pStyle w:val="ae"/>
        <w:shd w:val="clear" w:color="auto" w:fill="auto"/>
        <w:spacing w:line="360" w:lineRule="auto"/>
        <w:ind w:left="567" w:firstLine="0"/>
        <w:jc w:val="both"/>
        <w:rPr>
          <w:rFonts w:cs="David"/>
          <w:sz w:val="24"/>
          <w:szCs w:val="24"/>
          <w:u w:val="none"/>
        </w:rPr>
      </w:pPr>
      <w:r>
        <w:rPr>
          <w:rFonts w:cs="David"/>
          <w:sz w:val="24"/>
          <w:szCs w:val="24"/>
          <w:u w:val="none"/>
          <w:rtl/>
        </w:rPr>
        <w:t xml:space="preserve">גב' </w:t>
      </w:r>
      <w:r w:rsidR="000B4ED6">
        <w:rPr>
          <w:rFonts w:cs="David"/>
          <w:sz w:val="24"/>
          <w:szCs w:val="24"/>
          <w:u w:val="none"/>
          <w:rtl/>
        </w:rPr>
        <w:t>***</w:t>
      </w:r>
      <w:r>
        <w:rPr>
          <w:rFonts w:cs="David"/>
          <w:sz w:val="24"/>
          <w:szCs w:val="24"/>
          <w:u w:val="none"/>
          <w:rtl/>
        </w:rPr>
        <w:t xml:space="preserve">: </w:t>
      </w:r>
      <w:r>
        <w:rPr>
          <w:rFonts w:cs="David"/>
          <w:sz w:val="24"/>
          <w:szCs w:val="24"/>
          <w:u w:val="none"/>
          <w:rtl/>
        </w:rPr>
        <w:tab/>
        <w:t>נכון."</w:t>
      </w:r>
    </w:p>
    <w:p w:rsidR="00F1605A" w:rsidRDefault="00F1605A" w:rsidP="00F1605A">
      <w:pPr>
        <w:pStyle w:val="ac"/>
        <w:spacing w:line="360" w:lineRule="auto"/>
        <w:ind w:left="567"/>
        <w:jc w:val="both"/>
        <w:rPr>
          <w:rFonts w:cs="David"/>
          <w:sz w:val="24"/>
          <w:szCs w:val="24"/>
        </w:rPr>
      </w:pPr>
      <w:r>
        <w:rPr>
          <w:rFonts w:cs="David"/>
          <w:sz w:val="24"/>
          <w:szCs w:val="24"/>
          <w:rtl/>
        </w:rPr>
        <w:t>(ראו: פרוט' מיום 30.1.23, עמ' 70 שורות 14-31).</w:t>
      </w:r>
    </w:p>
    <w:p w:rsidR="00F1605A" w:rsidRDefault="00F1605A" w:rsidP="00F1605A">
      <w:pPr>
        <w:pStyle w:val="ac"/>
        <w:spacing w:line="360" w:lineRule="auto"/>
        <w:ind w:left="567"/>
        <w:jc w:val="both"/>
        <w:rPr>
          <w:rFonts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b/>
          <w:bCs/>
          <w:sz w:val="24"/>
          <w:szCs w:val="24"/>
          <w:rtl/>
        </w:rPr>
        <w:t>האישה</w:t>
      </w:r>
      <w:r>
        <w:rPr>
          <w:rFonts w:cs="David"/>
          <w:sz w:val="24"/>
          <w:szCs w:val="24"/>
          <w:rtl/>
        </w:rPr>
        <w:t xml:space="preserve"> נשאלה בחקירה על צירוף הסכם המכר שצורף על ידה בתשובתה לבקשה 58 כמעיד על הגדרת הזכויות גם על ידה ככוללת גם את זכויותיה בחברה, ואישרה בסופו של דבר כי למתחם יש שני חלקים ויש לה זכויות גם בחברה (אותן היא מגדירה כעת כרעיוניות):</w:t>
      </w:r>
    </w:p>
    <w:p w:rsidR="00F1605A" w:rsidRDefault="00F1605A" w:rsidP="00F1605A">
      <w:pPr>
        <w:pStyle w:val="ac"/>
        <w:spacing w:line="360" w:lineRule="auto"/>
        <w:ind w:left="567"/>
        <w:jc w:val="both"/>
        <w:rPr>
          <w:rFonts w:cs="David"/>
          <w:b/>
          <w:bCs/>
          <w:sz w:val="24"/>
          <w:szCs w:val="24"/>
        </w:rPr>
      </w:pPr>
      <w:r>
        <w:rPr>
          <w:rFonts w:cs="David"/>
          <w:b/>
          <w:bCs/>
          <w:sz w:val="24"/>
          <w:szCs w:val="24"/>
          <w:rtl/>
        </w:rPr>
        <w:t>"עו"ד זיסמן: בהנחה שהמסמך הזה צורף לבקשה 58 בתשובה שלך לבקשה הזאת, אני שואלת אותך, האם בזמן הזה את רצית שהגרסה הזו תחתם.</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t>אני לא זוכרת, אני לא יכולה לבדוק את זה. אני צריכה את כל הקובץ אצלי, לשבת עליו שורה שורה ולדעת אם זה מה שאני רציתי, אני גם לא זוכרת אם הגשתי משהו מוסכם.</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 [...]</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t xml:space="preserve">אני לא יודעת איך שאת מנסחת את זה, אבל בואי אני אפתור לך את, אולי את ההמשך של השאלות, מתחם </w:t>
      </w:r>
      <w:r w:rsidR="000B4ED6">
        <w:rPr>
          <w:rFonts w:cs="David"/>
          <w:b/>
          <w:bCs/>
          <w:sz w:val="24"/>
          <w:szCs w:val="24"/>
          <w:rtl/>
        </w:rPr>
        <w:t>***</w:t>
      </w:r>
      <w:r>
        <w:rPr>
          <w:rFonts w:cs="David"/>
          <w:b/>
          <w:bCs/>
          <w:sz w:val="24"/>
          <w:szCs w:val="24"/>
          <w:rtl/>
        </w:rPr>
        <w:t xml:space="preserve"> הוא שני חלקים, חלק אחד זה שלי ושלו, וחלק אחד רשום על שם החברה. את מה שאני קיבלתי, את החלק של החברה, את החלק שלי בחברה, קיבלתי זכויות רעיוניות, לא תכלס, לא רשום על שמי משהו, זה זכויות רעיוניות."</w:t>
      </w:r>
    </w:p>
    <w:p w:rsidR="00F1605A" w:rsidRDefault="00F1605A" w:rsidP="00F1605A">
      <w:pPr>
        <w:pStyle w:val="ac"/>
        <w:spacing w:line="360" w:lineRule="auto"/>
        <w:ind w:left="567"/>
        <w:jc w:val="both"/>
        <w:rPr>
          <w:rFonts w:cs="David"/>
          <w:sz w:val="24"/>
          <w:szCs w:val="24"/>
        </w:rPr>
      </w:pPr>
      <w:r>
        <w:rPr>
          <w:rFonts w:cs="David"/>
          <w:sz w:val="24"/>
          <w:szCs w:val="24"/>
          <w:rtl/>
        </w:rPr>
        <w:t>(ראו: פרוט' מיום 30.1.23, עמ' 72 שורות 23-27, עמ' 74 שורות 7-11).</w:t>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b/>
          <w:bCs/>
          <w:sz w:val="24"/>
          <w:szCs w:val="24"/>
        </w:rPr>
      </w:pPr>
      <w:r>
        <w:rPr>
          <w:rFonts w:cs="David"/>
          <w:b/>
          <w:bCs/>
          <w:sz w:val="24"/>
          <w:szCs w:val="24"/>
          <w:rtl/>
        </w:rPr>
        <w:t>אשר על כן על כן לאחר שמיעת חקירות הצדדים הוכחו הדברים הבאים המעידים על אומד דעת שני הצדדים ובזמן אמת:</w:t>
      </w:r>
    </w:p>
    <w:p w:rsidR="00F1605A" w:rsidRDefault="00F1605A" w:rsidP="00F1605A">
      <w:pPr>
        <w:pStyle w:val="ac"/>
        <w:numPr>
          <w:ilvl w:val="0"/>
          <w:numId w:val="3"/>
        </w:numPr>
        <w:spacing w:line="360" w:lineRule="auto"/>
        <w:ind w:left="1134" w:hanging="567"/>
        <w:jc w:val="both"/>
        <w:rPr>
          <w:rFonts w:cs="David"/>
          <w:b/>
          <w:bCs/>
          <w:sz w:val="24"/>
          <w:szCs w:val="24"/>
        </w:rPr>
      </w:pPr>
      <w:r>
        <w:rPr>
          <w:rFonts w:cs="David"/>
          <w:b/>
          <w:bCs/>
          <w:sz w:val="24"/>
          <w:szCs w:val="24"/>
          <w:rtl/>
        </w:rPr>
        <w:t xml:space="preserve">בחינת חקירות הצדדים מעלה כי שניהם אישרו כי הזכויות במתחם כוללות גם את החברה. </w:t>
      </w:r>
    </w:p>
    <w:p w:rsidR="00F1605A" w:rsidRDefault="00F1605A" w:rsidP="00F1605A">
      <w:pPr>
        <w:pStyle w:val="ac"/>
        <w:numPr>
          <w:ilvl w:val="0"/>
          <w:numId w:val="3"/>
        </w:numPr>
        <w:spacing w:line="360" w:lineRule="auto"/>
        <w:ind w:left="1134" w:hanging="567"/>
        <w:jc w:val="both"/>
        <w:rPr>
          <w:rFonts w:cs="David"/>
          <w:b/>
          <w:bCs/>
          <w:sz w:val="24"/>
          <w:szCs w:val="24"/>
        </w:rPr>
      </w:pPr>
      <w:r>
        <w:rPr>
          <w:rFonts w:cs="David"/>
          <w:b/>
          <w:bCs/>
          <w:sz w:val="24"/>
          <w:szCs w:val="24"/>
          <w:rtl/>
        </w:rPr>
        <w:t xml:space="preserve">כמו כן שוכנעתי כי שני הצדדים הבינו היטב כי עסקת המכר כוללת שני חלקים: את החלק שרשום על שם כל אחד מהם ואת החלק שרשום על שם החברה. </w:t>
      </w:r>
    </w:p>
    <w:p w:rsidR="00F1605A" w:rsidRDefault="00F1605A" w:rsidP="00F1605A">
      <w:pPr>
        <w:pStyle w:val="ac"/>
        <w:numPr>
          <w:ilvl w:val="0"/>
          <w:numId w:val="3"/>
        </w:numPr>
        <w:spacing w:line="360" w:lineRule="auto"/>
        <w:ind w:left="1134" w:hanging="567"/>
        <w:jc w:val="both"/>
        <w:rPr>
          <w:rFonts w:cs="David"/>
          <w:b/>
          <w:bCs/>
          <w:sz w:val="24"/>
          <w:szCs w:val="24"/>
        </w:rPr>
      </w:pPr>
      <w:r>
        <w:rPr>
          <w:rFonts w:cs="David"/>
          <w:b/>
          <w:bCs/>
          <w:sz w:val="24"/>
          <w:szCs w:val="24"/>
          <w:rtl/>
        </w:rPr>
        <w:t xml:space="preserve">כמו כן היה ברור לשניהם כי העסקה כוללת את הזכויות בחברה על מנת להביא למצב של סיום השותפות בהיבט של מתחם </w:t>
      </w:r>
      <w:r w:rsidR="000B4ED6">
        <w:rPr>
          <w:rFonts w:cs="David"/>
          <w:b/>
          <w:bCs/>
          <w:sz w:val="24"/>
          <w:szCs w:val="24"/>
          <w:rtl/>
        </w:rPr>
        <w:t>***</w:t>
      </w:r>
      <w:r>
        <w:rPr>
          <w:rFonts w:cs="David"/>
          <w:b/>
          <w:bCs/>
          <w:sz w:val="24"/>
          <w:szCs w:val="24"/>
          <w:rtl/>
        </w:rPr>
        <w:t xml:space="preserve"> כולו. </w:t>
      </w:r>
    </w:p>
    <w:p w:rsidR="00F1605A" w:rsidRDefault="00F1605A" w:rsidP="00F1605A">
      <w:pPr>
        <w:pStyle w:val="ac"/>
        <w:numPr>
          <w:ilvl w:val="0"/>
          <w:numId w:val="3"/>
        </w:numPr>
        <w:spacing w:line="360" w:lineRule="auto"/>
        <w:ind w:left="1134" w:hanging="567"/>
        <w:jc w:val="both"/>
        <w:rPr>
          <w:rFonts w:cs="David"/>
          <w:b/>
          <w:bCs/>
          <w:sz w:val="24"/>
          <w:szCs w:val="24"/>
        </w:rPr>
      </w:pPr>
      <w:r>
        <w:rPr>
          <w:rFonts w:cs="David"/>
          <w:b/>
          <w:bCs/>
          <w:sz w:val="24"/>
          <w:szCs w:val="24"/>
          <w:rtl/>
        </w:rPr>
        <w:lastRenderedPageBreak/>
        <w:t xml:space="preserve">ההתרשמות מחקירות הצדדים הייתה כי הייתה הסכמת בסיס ברורה ומוחלטת לגבי אופן ביצוע העסקה שמטרת שני הצדדים בו הייתה להביע לסיום איזון המשאבים ופירוק השיתוף במתחם </w:t>
      </w:r>
      <w:r w:rsidR="000B4ED6">
        <w:rPr>
          <w:rFonts w:cs="David"/>
          <w:b/>
          <w:bCs/>
          <w:sz w:val="24"/>
          <w:szCs w:val="24"/>
          <w:rtl/>
        </w:rPr>
        <w:t>***</w:t>
      </w:r>
      <w:r>
        <w:rPr>
          <w:rFonts w:cs="David"/>
          <w:b/>
          <w:bCs/>
          <w:sz w:val="24"/>
          <w:szCs w:val="24"/>
          <w:rtl/>
        </w:rPr>
        <w:t xml:space="preserve">. </w:t>
      </w:r>
    </w:p>
    <w:p w:rsidR="008C0633" w:rsidRDefault="008C0633" w:rsidP="008C0633">
      <w:pPr>
        <w:pStyle w:val="ac"/>
        <w:spacing w:line="360" w:lineRule="auto"/>
        <w:ind w:left="1134"/>
        <w:jc w:val="both"/>
        <w:rPr>
          <w:rFonts w:cs="David"/>
          <w:b/>
          <w:bCs/>
          <w:sz w:val="24"/>
          <w:szCs w:val="24"/>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Pr>
      </w:pPr>
      <w:r>
        <w:rPr>
          <w:rFonts w:cs="David"/>
          <w:sz w:val="24"/>
          <w:szCs w:val="24"/>
          <w:rtl/>
        </w:rPr>
        <w:t>סיכומם של דברים:</w:t>
      </w:r>
      <w:r>
        <w:rPr>
          <w:rFonts w:cs="David"/>
          <w:b w:val="0"/>
          <w:bCs w:val="0"/>
          <w:sz w:val="24"/>
          <w:szCs w:val="24"/>
          <w:u w:val="none"/>
          <w:rtl/>
        </w:rPr>
        <w:t xml:space="preserve"> לאחר בחינת חקירות הצדדים והמסמכים שהוגשו על ידי האישה הינה כי ההתייחסות של שני הצדדים ועל פי החלטות שונות שניתנו לאורך השנים כי מכירת מתחם </w:t>
      </w:r>
      <w:r w:rsidR="000B4ED6">
        <w:rPr>
          <w:rFonts w:cs="David"/>
          <w:b w:val="0"/>
          <w:bCs w:val="0"/>
          <w:sz w:val="24"/>
          <w:szCs w:val="24"/>
          <w:u w:val="none"/>
          <w:rtl/>
        </w:rPr>
        <w:t>***</w:t>
      </w:r>
      <w:r>
        <w:rPr>
          <w:rFonts w:cs="David"/>
          <w:b w:val="0"/>
          <w:bCs w:val="0"/>
          <w:sz w:val="24"/>
          <w:szCs w:val="24"/>
          <w:u w:val="none"/>
          <w:rtl/>
        </w:rPr>
        <w:t xml:space="preserve"> כוללת את </w:t>
      </w:r>
      <w:r>
        <w:rPr>
          <w:rFonts w:ascii="Miriam" w:hAnsi="Miriam" w:cs="Miriam"/>
          <w:b w:val="0"/>
          <w:bCs w:val="0"/>
          <w:sz w:val="24"/>
          <w:szCs w:val="24"/>
          <w:u w:val="none"/>
          <w:rtl/>
        </w:rPr>
        <w:t>כלל</w:t>
      </w:r>
      <w:r>
        <w:rPr>
          <w:rFonts w:cs="David"/>
          <w:b w:val="0"/>
          <w:bCs w:val="0"/>
          <w:sz w:val="24"/>
          <w:szCs w:val="24"/>
          <w:u w:val="none"/>
          <w:rtl/>
        </w:rPr>
        <w:t xml:space="preserve"> הזכויות – של שני הצדדים ושל החברה. ההתייחסות של האישה למתחם </w:t>
      </w:r>
      <w:r w:rsidR="000B4ED6">
        <w:rPr>
          <w:rFonts w:cs="David"/>
          <w:b w:val="0"/>
          <w:bCs w:val="0"/>
          <w:sz w:val="24"/>
          <w:szCs w:val="24"/>
          <w:u w:val="none"/>
          <w:rtl/>
        </w:rPr>
        <w:t>***</w:t>
      </w:r>
      <w:r>
        <w:rPr>
          <w:rFonts w:cs="David"/>
          <w:b w:val="0"/>
          <w:bCs w:val="0"/>
          <w:sz w:val="24"/>
          <w:szCs w:val="24"/>
          <w:u w:val="none"/>
          <w:rtl/>
        </w:rPr>
        <w:t xml:space="preserve"> בכל כתבי הטענות ובפרט מעת שהחלו בקשות לגבי אופן המכר היו בהתייחסות ל</w:t>
      </w:r>
      <w:r>
        <w:rPr>
          <w:rFonts w:ascii="Miriam" w:hAnsi="Miriam" w:cs="Miriam"/>
          <w:b w:val="0"/>
          <w:bCs w:val="0"/>
          <w:sz w:val="24"/>
          <w:szCs w:val="24"/>
          <w:u w:val="none"/>
          <w:rtl/>
        </w:rPr>
        <w:t>כלל</w:t>
      </w:r>
      <w:r>
        <w:rPr>
          <w:rFonts w:cs="David"/>
          <w:b w:val="0"/>
          <w:bCs w:val="0"/>
          <w:sz w:val="24"/>
          <w:szCs w:val="24"/>
          <w:u w:val="none"/>
          <w:rtl/>
        </w:rPr>
        <w:t xml:space="preserve"> הזכויות ולא בהפרדה לזכויות הצדדים וזכויות החברה. בחינת התמורה של עסקת המכר נבחנה על פי הערכת השמאי שבה ההתייחסות גם היא לכל המתחם כולו (ולא רק לחלקים הפרטים אלא גם לחלקה של החברה). אין כל הגיון משפטי ועל פי השכל הישר כי האישה הייתה חפצה בפיצול בין העיסקאות. שהרי הצדדים הסכימו והדבר נקבע מפורשות כי האיזון במתחם </w:t>
      </w:r>
      <w:r w:rsidR="000B4ED6">
        <w:rPr>
          <w:rFonts w:cs="David"/>
          <w:b w:val="0"/>
          <w:bCs w:val="0"/>
          <w:sz w:val="24"/>
          <w:szCs w:val="24"/>
          <w:u w:val="none"/>
          <w:rtl/>
        </w:rPr>
        <w:t>***</w:t>
      </w:r>
      <w:r>
        <w:rPr>
          <w:rFonts w:cs="David"/>
          <w:b w:val="0"/>
          <w:bCs w:val="0"/>
          <w:sz w:val="24"/>
          <w:szCs w:val="24"/>
          <w:u w:val="none"/>
          <w:rtl/>
        </w:rPr>
        <w:t xml:space="preserve"> יכלול את החברה ויביא למכר של כלל המתחם.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שוכנעתי כי הסכמת האישה הייתה כי מכירת מתחם </w:t>
      </w:r>
      <w:r w:rsidR="000B4ED6">
        <w:rPr>
          <w:rFonts w:ascii="David" w:hAnsi="David" w:cs="David"/>
          <w:sz w:val="24"/>
          <w:szCs w:val="24"/>
          <w:rtl/>
        </w:rPr>
        <w:t>***</w:t>
      </w:r>
      <w:r>
        <w:rPr>
          <w:rFonts w:ascii="David" w:hAnsi="David" w:cs="David"/>
          <w:sz w:val="24"/>
          <w:szCs w:val="24"/>
          <w:rtl/>
        </w:rPr>
        <w:t xml:space="preserve"> תהיה כוללת גם את רכיב העברת זכויות החברה במקרקעין לאיש.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האישה הייתה מיוצגת היטב לכל אורכו ורוחבו של ניסוח הסכם המכר. הדברים נכתבו בצורה מפורשת וגלויה, הידועה לשני הצדדים. </w:t>
      </w:r>
    </w:p>
    <w:p w:rsidR="00F1605A" w:rsidRDefault="00F1605A" w:rsidP="00F1605A">
      <w:pPr>
        <w:pStyle w:val="ac"/>
        <w:spacing w:line="360" w:lineRule="auto"/>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יתרה מכך עמדתה של האישה כעת עומדת בסתירה חזיתית מפורשת להצהרות קודמות שלה ושל ב"כ גם בכתבי טענות שהוגשו לביהמ"ש, גם בתכתובות בין ב"כ הצדדים והכונס וגם בטיוטות של ההסכם.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לכך יש להוסיף כי בבקשה 71 אישרתי לבקשתה של האישה העברה לידיה של סך של מיליון ש"ח מתמורת מכר מתחם </w:t>
      </w:r>
      <w:r w:rsidR="000B4ED6">
        <w:rPr>
          <w:rFonts w:ascii="David" w:hAnsi="David" w:cs="David"/>
          <w:sz w:val="24"/>
          <w:szCs w:val="24"/>
          <w:rtl/>
        </w:rPr>
        <w:t>***</w:t>
      </w:r>
      <w:r>
        <w:rPr>
          <w:rFonts w:ascii="David" w:hAnsi="David" w:cs="David"/>
          <w:sz w:val="24"/>
          <w:szCs w:val="24"/>
          <w:rtl/>
        </w:rPr>
        <w:t>. זאת כאשר האיש שילם את מלוא התמורה. האישה עמדה על זכותה, שנמצאה כמוצדקת כי יועבר לידיה סכום משמעותי מתמורת המכר אשר שולמה על ידו. הכספים לא הוחזרו על ידה והם הועברו לה על פי החלטת ביהמ"ש ולבקשתה. במסגרת זו ציינה גם האישה את הסכום שהיא סבורה כי יהיה חלקה בחבויות המס.</w:t>
      </w:r>
    </w:p>
    <w:p w:rsidR="00F1605A" w:rsidRDefault="00F1605A" w:rsidP="00F1605A">
      <w:pPr>
        <w:pStyle w:val="ac"/>
        <w:rPr>
          <w:rFonts w:ascii="David" w:hAnsi="David" w:cs="David"/>
          <w:sz w:val="24"/>
          <w:szCs w:val="24"/>
          <w:rtl/>
        </w:rPr>
      </w:pPr>
    </w:p>
    <w:p w:rsidR="008C0633" w:rsidRDefault="008C0633" w:rsidP="00F1605A">
      <w:pPr>
        <w:pStyle w:val="ac"/>
        <w:rPr>
          <w:rFonts w:ascii="David" w:hAnsi="David" w:cs="David"/>
          <w:sz w:val="24"/>
          <w:szCs w:val="24"/>
          <w:rtl/>
        </w:rPr>
      </w:pPr>
    </w:p>
    <w:p w:rsidR="008C0633" w:rsidRDefault="008C0633" w:rsidP="00F1605A">
      <w:pPr>
        <w:pStyle w:val="ac"/>
        <w:rPr>
          <w:rFonts w:ascii="David" w:hAnsi="David" w:cs="David"/>
          <w:sz w:val="24"/>
          <w:szCs w:val="24"/>
          <w:rtl/>
        </w:rPr>
      </w:pPr>
    </w:p>
    <w:p w:rsidR="008C0633" w:rsidRDefault="008C0633" w:rsidP="00F1605A">
      <w:pPr>
        <w:pStyle w:val="ac"/>
        <w:rPr>
          <w:rFonts w:ascii="David" w:hAnsi="David" w:cs="David"/>
          <w:sz w:val="24"/>
          <w:szCs w:val="24"/>
          <w:rtl/>
        </w:rPr>
      </w:pPr>
    </w:p>
    <w:p w:rsidR="008C0633" w:rsidRDefault="008C0633" w:rsidP="00F1605A">
      <w:pPr>
        <w:pStyle w:val="ac"/>
        <w:rPr>
          <w:rFonts w:ascii="David" w:hAnsi="David" w:cs="David"/>
          <w:sz w:val="24"/>
          <w:szCs w:val="24"/>
          <w:rtl/>
        </w:rPr>
      </w:pPr>
    </w:p>
    <w:p w:rsidR="008C0633" w:rsidRDefault="008C0633" w:rsidP="00F1605A">
      <w:pPr>
        <w:pStyle w:val="ac"/>
        <w:rPr>
          <w:rFonts w:ascii="David" w:hAnsi="David" w:cs="David"/>
          <w:sz w:val="24"/>
          <w:szCs w:val="24"/>
          <w:rtl/>
        </w:rPr>
      </w:pPr>
    </w:p>
    <w:p w:rsidR="008C0633" w:rsidRDefault="008C0633" w:rsidP="00F1605A">
      <w:pPr>
        <w:pStyle w:val="ac"/>
        <w:rPr>
          <w:rFonts w:ascii="David" w:hAnsi="David" w:cs="David"/>
          <w:sz w:val="24"/>
          <w:szCs w:val="24"/>
        </w:rPr>
      </w:pPr>
    </w:p>
    <w:p w:rsidR="00F1605A" w:rsidRDefault="00F1605A" w:rsidP="008C0633">
      <w:pPr>
        <w:pStyle w:val="ac"/>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כעת מנסה האישה לעשות מעשה של "שניים אוחזין" (ואולי אף "שלושה אוחזין"): מצד אחד עתרה בעבר לאישור ההסכם וקביעה כי ההסכף תקף ונכתר והסכמתו מחייבת את האישה,  מצד שני האישה עותרת לביטול ההסכם ומכירה בשוק החופשי ומצד שלישי נהנית כבר למעלה משנה מסך של מיליון ₪, שהועבר לידיה לבקשתה במסגרת ההליך. אין לאפשר לבעל דין </w:t>
      </w:r>
      <w:r w:rsidR="008C0633">
        <w:rPr>
          <w:rFonts w:ascii="David" w:hAnsi="David" w:cs="David" w:hint="cs"/>
          <w:sz w:val="24"/>
          <w:szCs w:val="24"/>
          <w:rtl/>
        </w:rPr>
        <w:t>להחליף</w:t>
      </w:r>
      <w:r>
        <w:rPr>
          <w:rFonts w:ascii="David" w:hAnsi="David" w:cs="David"/>
          <w:sz w:val="24"/>
          <w:szCs w:val="24"/>
          <w:rtl/>
        </w:rPr>
        <w:t xml:space="preserve"> בין עמדותיו ובכך פעם אחת לקבל את שביקש ולאחר מכן, הוא מבקש לחזור בו מאותם סיבות בשלהן דרש את הסעד מבית המשפט. </w:t>
      </w:r>
    </w:p>
    <w:p w:rsidR="00F1605A" w:rsidRDefault="00F1605A" w:rsidP="00F1605A">
      <w:pPr>
        <w:pStyle w:val="ac"/>
        <w:rPr>
          <w:rFonts w:ascii="David" w:hAnsi="David" w:cs="David"/>
          <w:sz w:val="24"/>
          <w:szCs w:val="24"/>
        </w:rPr>
      </w:pPr>
    </w:p>
    <w:p w:rsidR="00F1605A" w:rsidRDefault="00F1605A" w:rsidP="00F1605A">
      <w:pPr>
        <w:pStyle w:val="ae"/>
        <w:numPr>
          <w:ilvl w:val="0"/>
          <w:numId w:val="1"/>
        </w:numPr>
        <w:shd w:val="clear" w:color="auto" w:fill="auto"/>
        <w:spacing w:line="360" w:lineRule="auto"/>
        <w:jc w:val="both"/>
        <w:rPr>
          <w:rFonts w:asciiTheme="minorHAnsi" w:hAnsiTheme="minorHAnsi" w:cs="David"/>
          <w:b w:val="0"/>
          <w:bCs w:val="0"/>
          <w:sz w:val="24"/>
          <w:szCs w:val="24"/>
          <w:u w:val="none"/>
          <w:rtl/>
        </w:rPr>
      </w:pPr>
      <w:r>
        <w:rPr>
          <w:rFonts w:cs="David"/>
          <w:sz w:val="24"/>
          <w:szCs w:val="24"/>
          <w:u w:val="none"/>
          <w:rtl/>
        </w:rPr>
        <w:t xml:space="preserve">על כן התשובה לשאלה הראשונה הינה כי הסכמת האישה התייחסה </w:t>
      </w:r>
      <w:r>
        <w:rPr>
          <w:rFonts w:ascii="Miriam" w:hAnsi="Miriam" w:cs="Miriam"/>
          <w:b w:val="0"/>
          <w:bCs w:val="0"/>
          <w:sz w:val="24"/>
          <w:szCs w:val="24"/>
          <w:u w:val="none"/>
          <w:rtl/>
        </w:rPr>
        <w:t>לכלל הזכויות במתחם</w:t>
      </w:r>
      <w:r>
        <w:rPr>
          <w:rFonts w:cs="David"/>
          <w:sz w:val="24"/>
          <w:szCs w:val="24"/>
          <w:u w:val="none"/>
          <w:rtl/>
        </w:rPr>
        <w:t>, הן הזכויות האישיות/פרטיות של הצדדים והן זכויות החברה במקרקעין</w:t>
      </w:r>
      <w:r>
        <w:rPr>
          <w:rFonts w:cs="David"/>
          <w:b w:val="0"/>
          <w:bCs w:val="0"/>
          <w:sz w:val="24"/>
          <w:szCs w:val="24"/>
          <w:u w:val="none"/>
          <w:rtl/>
        </w:rPr>
        <w:t xml:space="preserve">. האישה הביעה עמדה זו באמצעות ב"כ (וב"כ שונים – הן בייצוג בהליך זה והן עו"ד שייצגו במו"מ על ההסכם), וחזרה על עמדה זו פעמים רבות מספור. התמורה שנקבעה בהסכם היא תמורה עבור </w:t>
      </w:r>
      <w:r>
        <w:rPr>
          <w:rFonts w:ascii="Miriam" w:hAnsi="Miriam" w:cs="Miriam"/>
          <w:b w:val="0"/>
          <w:bCs w:val="0"/>
          <w:sz w:val="24"/>
          <w:szCs w:val="24"/>
          <w:u w:val="none"/>
          <w:rtl/>
        </w:rPr>
        <w:t>כל</w:t>
      </w:r>
      <w:r>
        <w:rPr>
          <w:rFonts w:cs="David"/>
          <w:b w:val="0"/>
          <w:bCs w:val="0"/>
          <w:sz w:val="24"/>
          <w:szCs w:val="24"/>
          <w:u w:val="none"/>
          <w:rtl/>
        </w:rPr>
        <w:t xml:space="preserve"> המתחם ועבור </w:t>
      </w:r>
      <w:r>
        <w:rPr>
          <w:rFonts w:ascii="Miriam" w:hAnsi="Miriam" w:cs="Miriam"/>
          <w:b w:val="0"/>
          <w:bCs w:val="0"/>
          <w:sz w:val="24"/>
          <w:szCs w:val="24"/>
          <w:u w:val="none"/>
          <w:rtl/>
        </w:rPr>
        <w:t>כל</w:t>
      </w:r>
      <w:r>
        <w:rPr>
          <w:rFonts w:cs="David"/>
          <w:b w:val="0"/>
          <w:bCs w:val="0"/>
          <w:sz w:val="24"/>
          <w:szCs w:val="24"/>
          <w:u w:val="none"/>
          <w:rtl/>
        </w:rPr>
        <w:t xml:space="preserve"> הזכויות, קרי כוללת את רכישת הזכויות מהאישה ומהחברה על ידי האיש – ובאיזון בין הצדדים האישה זכאית למחצית הסכום מכלל המתחם. זו הייתה זכותה של האישה לקבלת מחצית התמורה מכלל המתחם ומחצית זו כוללת גם את זכויות החברה במקרקעין. </w:t>
      </w:r>
    </w:p>
    <w:p w:rsidR="00F1605A" w:rsidRDefault="00F1605A" w:rsidP="00F1605A">
      <w:pPr>
        <w:pStyle w:val="ac"/>
        <w:rPr>
          <w:rFonts w:cs="David"/>
          <w:b/>
          <w:bCs/>
          <w:sz w:val="24"/>
          <w:szCs w:val="24"/>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tl/>
        </w:rPr>
      </w:pPr>
      <w:r>
        <w:rPr>
          <w:rFonts w:cs="David"/>
          <w:sz w:val="24"/>
          <w:szCs w:val="24"/>
          <w:u w:val="none"/>
          <w:rtl/>
        </w:rPr>
        <w:t xml:space="preserve">התשובה לשאלה השניה מה היה אומד דעתה של האישה בהכללת העברת זכויות החברה במקרקעין לאיש במסגרת מכירת מתחם </w:t>
      </w:r>
      <w:r w:rsidR="000B4ED6">
        <w:rPr>
          <w:rFonts w:cs="David"/>
          <w:sz w:val="24"/>
          <w:szCs w:val="24"/>
          <w:u w:val="none"/>
          <w:rtl/>
        </w:rPr>
        <w:t>***</w:t>
      </w:r>
      <w:r>
        <w:rPr>
          <w:rFonts w:cs="David"/>
          <w:sz w:val="24"/>
          <w:szCs w:val="24"/>
          <w:u w:val="none"/>
          <w:rtl/>
        </w:rPr>
        <w:t xml:space="preserve"> – הינה כי היה מוסכם, ידוע וברור וחלק מהותי ואינטגרלי מהעסקה כי העסקה כוללת גם את העברת הזכויות מהחברה לאיש לצורך השלמת העסקה</w:t>
      </w:r>
      <w:r>
        <w:rPr>
          <w:rFonts w:cs="David"/>
          <w:b w:val="0"/>
          <w:bCs w:val="0"/>
          <w:sz w:val="24"/>
          <w:szCs w:val="24"/>
          <w:u w:val="none"/>
          <w:rtl/>
        </w:rPr>
        <w:t xml:space="preserve">. בחינת הראיות מזמן אמת מעלה כי היה ברור שהסכם המכר במתחם </w:t>
      </w:r>
      <w:r w:rsidR="000B4ED6">
        <w:rPr>
          <w:rFonts w:cs="David"/>
          <w:b w:val="0"/>
          <w:bCs w:val="0"/>
          <w:sz w:val="24"/>
          <w:szCs w:val="24"/>
          <w:u w:val="none"/>
          <w:rtl/>
        </w:rPr>
        <w:t>***</w:t>
      </w:r>
      <w:r>
        <w:rPr>
          <w:rFonts w:cs="David"/>
          <w:b w:val="0"/>
          <w:bCs w:val="0"/>
          <w:sz w:val="24"/>
          <w:szCs w:val="24"/>
          <w:u w:val="none"/>
          <w:rtl/>
        </w:rPr>
        <w:t xml:space="preserve"> מעבר להעברת הזכויות במקרקעין בין הצדדים הפרטיים כולל גם את העברת הזכויות בחברה. לשני הצדדים היה אינטרס לסיים בכך את האיזון לגבי החברה. היה ברור כל העת כי עסקת מכר מתחם </w:t>
      </w:r>
      <w:r w:rsidR="000B4ED6">
        <w:rPr>
          <w:rFonts w:cs="David"/>
          <w:b w:val="0"/>
          <w:bCs w:val="0"/>
          <w:sz w:val="24"/>
          <w:szCs w:val="24"/>
          <w:u w:val="none"/>
          <w:rtl/>
        </w:rPr>
        <w:t>***</w:t>
      </w:r>
      <w:r>
        <w:rPr>
          <w:rFonts w:cs="David"/>
          <w:b w:val="0"/>
          <w:bCs w:val="0"/>
          <w:sz w:val="24"/>
          <w:szCs w:val="24"/>
          <w:u w:val="none"/>
          <w:rtl/>
        </w:rPr>
        <w:t xml:space="preserve"> תסיים את האיזון לגבי החברה. הדבר היה ידוע לאישה, בהסכמתה, נקבע במספר החלטות שיפוטיות כי מתחם </w:t>
      </w:r>
      <w:r w:rsidR="000B4ED6">
        <w:rPr>
          <w:rFonts w:cs="David"/>
          <w:b w:val="0"/>
          <w:bCs w:val="0"/>
          <w:sz w:val="24"/>
          <w:szCs w:val="24"/>
          <w:u w:val="none"/>
          <w:rtl/>
        </w:rPr>
        <w:t>***</w:t>
      </w:r>
      <w:r>
        <w:rPr>
          <w:rFonts w:cs="David"/>
          <w:b w:val="0"/>
          <w:bCs w:val="0"/>
          <w:sz w:val="24"/>
          <w:szCs w:val="24"/>
          <w:u w:val="none"/>
          <w:rtl/>
        </w:rPr>
        <w:t xml:space="preserve"> כולל את הזכויות בחברה, היא חפצה בכך מפורשות, ואף היה באינטרס שלה לצורך ביצוע האיזון בחברה ככולל גם את הקרקע. מדובר בהסכמה מפורשת, ברורה וחוזרת ונשנית של הצדדים. </w:t>
      </w:r>
    </w:p>
    <w:p w:rsidR="00F1605A" w:rsidRDefault="00F1605A" w:rsidP="00F1605A">
      <w:pPr>
        <w:pStyle w:val="ac"/>
        <w:rPr>
          <w:rFonts w:cs="David"/>
          <w:b/>
          <w:bCs/>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יודגש – המשקל המשמעותי והמהותי הוא מה כללה הסכמת האישה </w:t>
      </w:r>
      <w:r>
        <w:rPr>
          <w:rFonts w:ascii="Miriam" w:hAnsi="Miriam" w:cs="Miriam"/>
          <w:sz w:val="24"/>
          <w:szCs w:val="24"/>
          <w:rtl/>
        </w:rPr>
        <w:t>בעבר</w:t>
      </w:r>
      <w:r>
        <w:rPr>
          <w:rFonts w:ascii="David" w:hAnsi="David" w:cs="David"/>
          <w:sz w:val="24"/>
          <w:szCs w:val="24"/>
          <w:rtl/>
        </w:rPr>
        <w:t xml:space="preserve">. זו אחת השאלות שהוחזרה לבדיקה על ידי בימ"ש המחוזי. אין מקום לשקול מה סוברים הצדדים כעת ומה הם חפצים כעת. </w:t>
      </w:r>
    </w:p>
    <w:p w:rsidR="008C0633" w:rsidRPr="008C0633" w:rsidRDefault="008C0633" w:rsidP="008C0633">
      <w:pPr>
        <w:pStyle w:val="ac"/>
        <w:rPr>
          <w:rFonts w:ascii="David" w:hAnsi="David" w:cs="David"/>
          <w:sz w:val="24"/>
          <w:szCs w:val="24"/>
          <w:rtl/>
        </w:rPr>
      </w:pPr>
    </w:p>
    <w:p w:rsidR="008C0633" w:rsidRDefault="008C0633" w:rsidP="008C0633">
      <w:pPr>
        <w:spacing w:line="360" w:lineRule="auto"/>
        <w:jc w:val="both"/>
        <w:rPr>
          <w:rFonts w:ascii="David" w:hAnsi="David"/>
          <w:rtl/>
        </w:rPr>
      </w:pPr>
    </w:p>
    <w:p w:rsidR="008C0633" w:rsidRPr="008C0633" w:rsidRDefault="008C0633" w:rsidP="008C0633">
      <w:pPr>
        <w:spacing w:line="360" w:lineRule="auto"/>
        <w:jc w:val="both"/>
        <w:rPr>
          <w:rFonts w:ascii="David" w:hAnsi="David"/>
          <w:rtl/>
        </w:rPr>
      </w:pPr>
    </w:p>
    <w:p w:rsidR="00F1605A" w:rsidRDefault="00F1605A" w:rsidP="00F1605A">
      <w:pPr>
        <w:pStyle w:val="ae"/>
        <w:numPr>
          <w:ilvl w:val="0"/>
          <w:numId w:val="1"/>
        </w:numPr>
        <w:shd w:val="clear" w:color="auto" w:fill="auto"/>
        <w:spacing w:line="360" w:lineRule="auto"/>
        <w:jc w:val="both"/>
        <w:rPr>
          <w:rFonts w:asciiTheme="minorHAnsi" w:hAnsiTheme="minorHAnsi" w:cs="David"/>
          <w:b w:val="0"/>
          <w:bCs w:val="0"/>
          <w:sz w:val="24"/>
          <w:szCs w:val="24"/>
          <w:u w:val="none"/>
        </w:rPr>
      </w:pPr>
      <w:r>
        <w:rPr>
          <w:rFonts w:cs="David"/>
          <w:b w:val="0"/>
          <w:bCs w:val="0"/>
          <w:sz w:val="24"/>
          <w:szCs w:val="24"/>
          <w:u w:val="none"/>
          <w:rtl/>
        </w:rPr>
        <w:lastRenderedPageBreak/>
        <w:t xml:space="preserve">בשלב מסויים – למרות שהאישה היא זו שטוענת בבימ"ש כי העסקה נכרתה (כלשונה הייתה הצעה וקיבול, ואף מציינת כי מדובר בהצעה בלתי חוזרת) ויש לתת לה תוקף, ולמרות שהאישה דורשת כי תשלום המיסים יהיה בחלוקה שווה (להבדיל מחלוקה בין מיסי מוכר/קונה), מעלה האישה טענה כי העסקה אינה כוללת את רכיב העברת הזכויות מהחברה לאיש. אין לקבל התנהלות זו. </w:t>
      </w:r>
    </w:p>
    <w:p w:rsidR="00F1605A" w:rsidRDefault="00F1605A" w:rsidP="00F1605A">
      <w:pPr>
        <w:pStyle w:val="ae"/>
        <w:shd w:val="clear" w:color="auto" w:fill="auto"/>
        <w:spacing w:line="360" w:lineRule="auto"/>
        <w:ind w:left="567" w:firstLine="0"/>
        <w:jc w:val="both"/>
        <w:rPr>
          <w:rFonts w:cs="David"/>
          <w:b w:val="0"/>
          <w:bCs w:val="0"/>
          <w:sz w:val="24"/>
          <w:szCs w:val="24"/>
          <w:u w:val="none"/>
          <w:rtl/>
        </w:rPr>
      </w:pPr>
      <w:r>
        <w:rPr>
          <w:rFonts w:cs="David"/>
          <w:b w:val="0"/>
          <w:bCs w:val="0"/>
          <w:sz w:val="24"/>
          <w:szCs w:val="24"/>
          <w:u w:val="none"/>
          <w:rtl/>
        </w:rPr>
        <w:t xml:space="preserve">ההסכמה של האישה הייתה ברורה, מודעת, מפורשת וצלולה והיא חזרה עליה מספר רב של פעמים והייתה חפצה בה. האישה אף עתרה כי בימ"ש יאשר את המכר בניגוד לעמדתו הראשונה של האיש. </w:t>
      </w:r>
    </w:p>
    <w:p w:rsidR="00F1605A" w:rsidRDefault="00F1605A" w:rsidP="00F1605A">
      <w:pPr>
        <w:pStyle w:val="ae"/>
        <w:shd w:val="clear" w:color="auto" w:fill="auto"/>
        <w:spacing w:line="360" w:lineRule="auto"/>
        <w:ind w:left="567" w:firstLine="0"/>
        <w:jc w:val="both"/>
        <w:rPr>
          <w:rFonts w:cs="David"/>
          <w:b w:val="0"/>
          <w:bCs w:val="0"/>
          <w:sz w:val="24"/>
          <w:szCs w:val="24"/>
          <w:u w:val="none"/>
          <w:rtl/>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tl/>
        </w:rPr>
      </w:pPr>
      <w:r>
        <w:rPr>
          <w:rFonts w:cs="David"/>
          <w:b w:val="0"/>
          <w:bCs w:val="0"/>
          <w:sz w:val="24"/>
          <w:szCs w:val="24"/>
          <w:u w:val="none"/>
          <w:rtl/>
        </w:rPr>
        <w:t xml:space="preserve">יתרה מכך, יש לבחון את ההסכמה הנ"ל בראי מה הייתה טוענת האישה לו היה ההסכם מול צד שלישי. צד שלישי לו היה מתקשר בעסקה היה מציע הצעה עבור </w:t>
      </w:r>
      <w:r>
        <w:rPr>
          <w:rFonts w:ascii="Miriam" w:hAnsi="Miriam" w:cs="Miriam"/>
          <w:b w:val="0"/>
          <w:bCs w:val="0"/>
          <w:sz w:val="24"/>
          <w:szCs w:val="24"/>
          <w:u w:val="none"/>
          <w:rtl/>
        </w:rPr>
        <w:t>כלל</w:t>
      </w:r>
      <w:r>
        <w:rPr>
          <w:rFonts w:cs="David"/>
          <w:b w:val="0"/>
          <w:bCs w:val="0"/>
          <w:sz w:val="24"/>
          <w:szCs w:val="24"/>
          <w:u w:val="none"/>
          <w:rtl/>
        </w:rPr>
        <w:t xml:space="preserve"> הזכויות במתחם. השלמת העסקה במלואה מול צד שלישי היא העברת מלוא הזכויות במתחם לקונה – בין אם מהצדדים ובין אם מהחברה. על כן אין הבדל אם מדובר באיש או בקונה צד שלישי. </w:t>
      </w:r>
    </w:p>
    <w:p w:rsidR="00F1605A" w:rsidRDefault="00F1605A" w:rsidP="00F1605A">
      <w:pPr>
        <w:pStyle w:val="ae"/>
        <w:shd w:val="clear" w:color="auto" w:fill="auto"/>
        <w:spacing w:line="360" w:lineRule="auto"/>
        <w:ind w:left="567" w:firstLine="0"/>
        <w:jc w:val="both"/>
        <w:rPr>
          <w:rFonts w:cs="David"/>
          <w:b w:val="0"/>
          <w:bCs w:val="0"/>
          <w:sz w:val="24"/>
          <w:szCs w:val="24"/>
          <w:u w:val="none"/>
          <w:rtl/>
        </w:rPr>
      </w:pPr>
      <w:r>
        <w:rPr>
          <w:rFonts w:cs="David"/>
          <w:b w:val="0"/>
          <w:bCs w:val="0"/>
          <w:sz w:val="24"/>
          <w:szCs w:val="24"/>
          <w:u w:val="none"/>
          <w:rtl/>
        </w:rPr>
        <w:t xml:space="preserve">העלאת טענה זו של האישה מהווה חזרה מהסכמה מפורשות שלה ומהקיבול (לשון בה היא השתמשה מיוזמתה) שלה לה לעיסקה, ומהווה התנהלות שאין לקבלה. </w:t>
      </w:r>
    </w:p>
    <w:p w:rsidR="00F1605A" w:rsidRDefault="00F1605A" w:rsidP="00F1605A">
      <w:pPr>
        <w:pStyle w:val="ae"/>
        <w:shd w:val="clear" w:color="auto" w:fill="auto"/>
        <w:spacing w:line="360" w:lineRule="auto"/>
        <w:ind w:left="567" w:firstLine="0"/>
        <w:jc w:val="both"/>
        <w:rPr>
          <w:rFonts w:cs="David"/>
          <w:b w:val="0"/>
          <w:bCs w:val="0"/>
          <w:sz w:val="24"/>
          <w:szCs w:val="24"/>
          <w:u w:val="none"/>
          <w:rtl/>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tl/>
        </w:rPr>
      </w:pPr>
      <w:r>
        <w:rPr>
          <w:rFonts w:cs="David"/>
          <w:b w:val="0"/>
          <w:bCs w:val="0"/>
          <w:sz w:val="24"/>
          <w:szCs w:val="24"/>
          <w:u w:val="none"/>
          <w:rtl/>
        </w:rPr>
        <w:t xml:space="preserve">יתרה מכך, הוכח כפי שצויין לעיל, כי בשלב מסויים האישה ביקשה מבימ"ש לאשר לה לרכוש את מתחם </w:t>
      </w:r>
      <w:r w:rsidR="000B4ED6">
        <w:rPr>
          <w:rFonts w:cs="David"/>
          <w:b w:val="0"/>
          <w:bCs w:val="0"/>
          <w:sz w:val="24"/>
          <w:szCs w:val="24"/>
          <w:u w:val="none"/>
          <w:rtl/>
        </w:rPr>
        <w:t>***</w:t>
      </w:r>
      <w:r>
        <w:rPr>
          <w:rFonts w:cs="David"/>
          <w:b w:val="0"/>
          <w:bCs w:val="0"/>
          <w:sz w:val="24"/>
          <w:szCs w:val="24"/>
          <w:u w:val="none"/>
          <w:rtl/>
        </w:rPr>
        <w:t xml:space="preserve"> מהאיש ומהחברה (בקשה 40). כאשר ביקשה זאת, בוודאי לא סברה כי ניתן לרכוש ולהשלים את העברת הזכויות לידיה ללא העברת גם הזכויות מהחברה אליה. די בכך על מנת להראות כי טענה מאוחרת זו שהעלתה אין בה ממש, והטענה כי לא ידעה/ לא הבינה/ לא סברה כי העסקה כוללת רכיב זה, בפשטות אינה נכונה. </w:t>
      </w:r>
    </w:p>
    <w:p w:rsidR="00F1605A" w:rsidRDefault="00F1605A" w:rsidP="00F1605A">
      <w:pPr>
        <w:pStyle w:val="ae"/>
        <w:shd w:val="clear" w:color="auto" w:fill="auto"/>
        <w:spacing w:line="360" w:lineRule="auto"/>
        <w:ind w:left="567" w:firstLine="0"/>
        <w:jc w:val="both"/>
        <w:rPr>
          <w:rFonts w:cs="David"/>
          <w:b w:val="0"/>
          <w:bCs w:val="0"/>
          <w:sz w:val="24"/>
          <w:szCs w:val="24"/>
          <w:u w:val="none"/>
          <w:rtl/>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tl/>
        </w:rPr>
      </w:pPr>
      <w:r>
        <w:rPr>
          <w:rFonts w:cs="David"/>
          <w:b w:val="0"/>
          <w:bCs w:val="0"/>
          <w:sz w:val="24"/>
          <w:szCs w:val="24"/>
          <w:u w:val="none"/>
          <w:rtl/>
        </w:rPr>
        <w:t xml:space="preserve">אין זה משנה מדוע נהגה כך האישה. מה שנדרש לבחון הוא אומד דעתה בעת כריתת ההסכם. אומד דעת זה על פי טענותיה החוזרות ונשנות בבית המשפט כי העסקה במתחם </w:t>
      </w:r>
      <w:r w:rsidR="000B4ED6">
        <w:rPr>
          <w:rFonts w:cs="David"/>
          <w:b w:val="0"/>
          <w:bCs w:val="0"/>
          <w:sz w:val="24"/>
          <w:szCs w:val="24"/>
          <w:u w:val="none"/>
          <w:rtl/>
        </w:rPr>
        <w:t>***</w:t>
      </w:r>
      <w:r>
        <w:rPr>
          <w:rFonts w:cs="David"/>
          <w:b w:val="0"/>
          <w:bCs w:val="0"/>
          <w:sz w:val="24"/>
          <w:szCs w:val="24"/>
          <w:u w:val="none"/>
          <w:rtl/>
        </w:rPr>
        <w:t xml:space="preserve"> כוללת את כל סוגי הזכויות. אם העסקה כוללת את כל סוגי הזכויות הרי שנדרש כי השלמת העסקה תכלול כי הקונה – שהוא האיש – יקבל לידיו את מלוא הזכויות במתחם – הפרטיות ושל החברה. </w:t>
      </w:r>
    </w:p>
    <w:p w:rsidR="00F1605A" w:rsidRDefault="00F1605A" w:rsidP="00F1605A">
      <w:pPr>
        <w:pStyle w:val="ae"/>
        <w:shd w:val="clear" w:color="auto" w:fill="auto"/>
        <w:spacing w:line="360" w:lineRule="auto"/>
        <w:ind w:left="567" w:firstLine="0"/>
        <w:jc w:val="both"/>
        <w:rPr>
          <w:rFonts w:cs="David"/>
          <w:b w:val="0"/>
          <w:bCs w:val="0"/>
          <w:sz w:val="24"/>
          <w:szCs w:val="24"/>
          <w:u w:val="none"/>
        </w:rPr>
      </w:pPr>
    </w:p>
    <w:p w:rsidR="00F1605A" w:rsidRDefault="00F1605A" w:rsidP="00F1605A">
      <w:pPr>
        <w:pStyle w:val="ae"/>
        <w:numPr>
          <w:ilvl w:val="0"/>
          <w:numId w:val="1"/>
        </w:numPr>
        <w:shd w:val="clear" w:color="auto" w:fill="auto"/>
        <w:spacing w:line="360" w:lineRule="auto"/>
        <w:jc w:val="both"/>
        <w:rPr>
          <w:rFonts w:cs="David"/>
          <w:b w:val="0"/>
          <w:bCs w:val="0"/>
          <w:sz w:val="24"/>
          <w:szCs w:val="24"/>
          <w:u w:val="none"/>
        </w:rPr>
      </w:pPr>
      <w:r>
        <w:rPr>
          <w:rFonts w:cs="David"/>
          <w:b w:val="0"/>
          <w:bCs w:val="0"/>
          <w:sz w:val="24"/>
          <w:szCs w:val="24"/>
          <w:u w:val="none"/>
          <w:rtl/>
        </w:rPr>
        <w:t xml:space="preserve">טענות מאוחרות של האישה כי יש לה זכויות רעיוניות בלבד בחברה, כי מדובר בעסקה מתחת לשטיח (בלשון ב"כ בדיון מיום 27.10.22), כי מדובר בעסקה שאינה קשורה לביצוע המכר עצמו אלא עסקה בין האיש לחברה – הן טענות שנועדו כעת למנוע את השלמת העסקה ולהתחיל את ההליך של פירוק השיתוף מראשיתו. מצד אחד האישה נהנית ממימוש הזכויות המגיעות לה כדין לקבלת מחצית מכלל המתחם ומצד שני היא מתנערת מהחובה שבצד הזכות להשלים את המכר במלואו. כלל המתחם הוגדר והיה הידוע ככולל את זכויות החברה. השלמת העסקה על כן כוללת את העברת הזכויות מהחברה לאיש. </w:t>
      </w: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יודגש כי שוכנעתי כי יש מספיק ראיות שמלמדות על אומד דעתה של האישה במסגרת ההליכים המשפטיים, ולא פעם אחת, ולא באקראי וכאשר היא מיוצגת והמצב המשפטי גלוי וידוע. </w:t>
      </w:r>
    </w:p>
    <w:p w:rsidR="00F1605A" w:rsidRDefault="00F1605A" w:rsidP="00941B0F">
      <w:pPr>
        <w:pStyle w:val="ae"/>
        <w:numPr>
          <w:ilvl w:val="0"/>
          <w:numId w:val="1"/>
        </w:numPr>
        <w:shd w:val="clear" w:color="auto" w:fill="auto"/>
        <w:spacing w:line="360" w:lineRule="auto"/>
        <w:jc w:val="both"/>
        <w:rPr>
          <w:rFonts w:cs="David"/>
          <w:b w:val="0"/>
          <w:bCs w:val="0"/>
          <w:sz w:val="24"/>
          <w:szCs w:val="24"/>
          <w:u w:val="none"/>
        </w:rPr>
      </w:pPr>
      <w:r>
        <w:rPr>
          <w:rFonts w:cs="David"/>
          <w:sz w:val="24"/>
          <w:szCs w:val="24"/>
          <w:u w:val="none"/>
          <w:rtl/>
        </w:rPr>
        <w:t>אין האישה יכולה לדרוש כי ישולם לה סך כולל עבור רכישת כל הזכויות במתחם לרבות הזכויות של החברה והזכויות המגיעות לה בחברה דרך כך, אולם לסבור כי הפועל היוצא של השלמת העסקה היא אינה חלק ממנו</w:t>
      </w:r>
      <w:r>
        <w:rPr>
          <w:rFonts w:cs="David"/>
          <w:b w:val="0"/>
          <w:bCs w:val="0"/>
          <w:sz w:val="24"/>
          <w:szCs w:val="24"/>
          <w:u w:val="none"/>
          <w:rtl/>
        </w:rPr>
        <w:t xml:space="preserve">. קל לשער מה הייתה טוענת האישה, לו האיש היה טוען, כי בניגוד להחלטות ברורות וחלוטות, כי מתחם </w:t>
      </w:r>
      <w:r w:rsidR="000B4ED6">
        <w:rPr>
          <w:rFonts w:cs="David"/>
          <w:b w:val="0"/>
          <w:bCs w:val="0"/>
          <w:sz w:val="24"/>
          <w:szCs w:val="24"/>
          <w:u w:val="none"/>
          <w:rtl/>
        </w:rPr>
        <w:t>***</w:t>
      </w:r>
      <w:r>
        <w:rPr>
          <w:rFonts w:cs="David"/>
          <w:b w:val="0"/>
          <w:bCs w:val="0"/>
          <w:sz w:val="24"/>
          <w:szCs w:val="24"/>
          <w:u w:val="none"/>
          <w:rtl/>
        </w:rPr>
        <w:t xml:space="preserve"> כולל רק את הזכויות הפרטיות של הצדדים ועליו לשלם רק עבור החלק הפרטי – עמדה זו לא הייתה מתקבלת (ובצדק). </w:t>
      </w:r>
    </w:p>
    <w:p w:rsidR="00941B0F" w:rsidRPr="00941B0F" w:rsidRDefault="00941B0F" w:rsidP="00941B0F">
      <w:pPr>
        <w:pStyle w:val="ae"/>
        <w:shd w:val="clear" w:color="auto" w:fill="auto"/>
        <w:spacing w:line="360" w:lineRule="auto"/>
        <w:ind w:left="567" w:firstLine="0"/>
        <w:jc w:val="both"/>
        <w:rPr>
          <w:rFonts w:cs="David"/>
          <w:b w:val="0"/>
          <w:bCs w:val="0"/>
          <w:sz w:val="24"/>
          <w:szCs w:val="24"/>
          <w:u w:val="none"/>
        </w:rPr>
      </w:pPr>
    </w:p>
    <w:p w:rsidR="00F1605A" w:rsidRDefault="00F1605A" w:rsidP="00F1605A">
      <w:pPr>
        <w:pStyle w:val="ae"/>
        <w:numPr>
          <w:ilvl w:val="0"/>
          <w:numId w:val="1"/>
        </w:numPr>
        <w:shd w:val="clear" w:color="auto" w:fill="auto"/>
        <w:spacing w:line="360" w:lineRule="auto"/>
        <w:jc w:val="both"/>
        <w:rPr>
          <w:rFonts w:cs="David"/>
          <w:sz w:val="24"/>
          <w:szCs w:val="24"/>
          <w:u w:val="none"/>
        </w:rPr>
      </w:pPr>
      <w:r>
        <w:rPr>
          <w:rFonts w:cs="David"/>
          <w:sz w:val="24"/>
          <w:szCs w:val="24"/>
          <w:u w:val="none"/>
          <w:rtl/>
        </w:rPr>
        <w:t xml:space="preserve">התמורה המגיעה לאישה נגזרה מכלל הזכויות במתחם. פועל יוצא כי בצד זכותה של האישה לקבלת מחצית התמורה המגלמת שווי כלל המתחם – זכאי האיש לקבל את מלוא הזכויות במתחם עם השלמת העסקה (ולא רק חלק המתייחס לחלק המוחזק רק על ידו). </w:t>
      </w:r>
    </w:p>
    <w:p w:rsidR="00941B0F" w:rsidRDefault="00941B0F" w:rsidP="00941B0F">
      <w:pPr>
        <w:pStyle w:val="ae"/>
        <w:shd w:val="clear" w:color="auto" w:fill="auto"/>
        <w:spacing w:line="360" w:lineRule="auto"/>
        <w:ind w:left="567" w:firstLine="0"/>
        <w:jc w:val="both"/>
        <w:rPr>
          <w:rFonts w:cs="David"/>
          <w:sz w:val="24"/>
          <w:szCs w:val="24"/>
          <w:u w:val="none"/>
        </w:rPr>
      </w:pPr>
    </w:p>
    <w:p w:rsidR="00F1605A" w:rsidRDefault="00F1605A" w:rsidP="00F1605A">
      <w:pPr>
        <w:pStyle w:val="ae"/>
        <w:numPr>
          <w:ilvl w:val="0"/>
          <w:numId w:val="1"/>
        </w:numPr>
        <w:shd w:val="clear" w:color="auto" w:fill="auto"/>
        <w:spacing w:line="360" w:lineRule="auto"/>
        <w:jc w:val="both"/>
        <w:rPr>
          <w:rFonts w:cs="David"/>
          <w:sz w:val="24"/>
          <w:szCs w:val="24"/>
          <w:u w:val="none"/>
        </w:rPr>
      </w:pPr>
      <w:r>
        <w:rPr>
          <w:rFonts w:cs="David"/>
          <w:sz w:val="24"/>
          <w:szCs w:val="24"/>
          <w:u w:val="none"/>
          <w:rtl/>
        </w:rPr>
        <w:t xml:space="preserve">אשר על כן הוכח כי האישה הסכימה לרכישת כלל הזכויות במתחם </w:t>
      </w:r>
      <w:r w:rsidR="000B4ED6">
        <w:rPr>
          <w:rFonts w:cs="David"/>
          <w:sz w:val="24"/>
          <w:szCs w:val="24"/>
          <w:u w:val="none"/>
          <w:rtl/>
        </w:rPr>
        <w:t>***</w:t>
      </w:r>
      <w:r>
        <w:rPr>
          <w:rFonts w:cs="David"/>
          <w:sz w:val="24"/>
          <w:szCs w:val="24"/>
          <w:u w:val="none"/>
          <w:rtl/>
        </w:rPr>
        <w:t xml:space="preserve">, והסכימה (אף עמדה על כך) כי העסקה תכלול גם את רכיב החברה ובהתאם לכך לצורך השלמת העסקה נדרש כי יועברו זכויות החברה במקרקעין לאיש. </w:t>
      </w:r>
    </w:p>
    <w:p w:rsidR="00941B0F" w:rsidRDefault="00941B0F" w:rsidP="00F1605A">
      <w:pPr>
        <w:spacing w:line="360" w:lineRule="auto"/>
        <w:jc w:val="both"/>
        <w:rPr>
          <w:rFonts w:ascii="David" w:hAnsi="David"/>
          <w:b/>
          <w:bCs/>
          <w:u w:val="single"/>
          <w:rtl/>
        </w:rPr>
      </w:pPr>
    </w:p>
    <w:p w:rsidR="00F1605A" w:rsidRDefault="00F1605A" w:rsidP="00F1605A">
      <w:pPr>
        <w:spacing w:line="360" w:lineRule="auto"/>
        <w:jc w:val="both"/>
        <w:rPr>
          <w:rFonts w:ascii="David" w:hAnsi="David"/>
          <w:b/>
          <w:bCs/>
          <w:u w:val="single"/>
          <w:rtl/>
        </w:rPr>
      </w:pPr>
      <w:r>
        <w:rPr>
          <w:rFonts w:ascii="David" w:hAnsi="David"/>
          <w:b/>
          <w:bCs/>
          <w:u w:val="single"/>
          <w:rtl/>
        </w:rPr>
        <w:t>2). האם על האישה לשאת בעלות המיסים בגין רכיב העברת זכויות החברה במקרקעין לאיש</w:t>
      </w:r>
    </w:p>
    <w:p w:rsidR="00941B0F" w:rsidRDefault="00941B0F" w:rsidP="00F1605A">
      <w:pPr>
        <w:spacing w:line="360" w:lineRule="auto"/>
        <w:jc w:val="both"/>
        <w:rPr>
          <w:rFonts w:ascii="David" w:hAnsi="David"/>
          <w:b/>
          <w:bCs/>
          <w:u w:val="single"/>
          <w:rtl/>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בעניין החבות במיסים בגין העסקה הרי שגם עניין זה היה חלק מהסוגיות שנוהל לגביהם מו"מ. </w:t>
      </w:r>
    </w:p>
    <w:p w:rsidR="00F1605A" w:rsidRDefault="00F1605A" w:rsidP="00F1605A">
      <w:pPr>
        <w:pStyle w:val="ac"/>
        <w:spacing w:line="360" w:lineRule="auto"/>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מהראיות שצורפו עולה כי האישה הביעה את דעתה כי המיסוי יהיה יחד עם האיש.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פורט לעיל בחלק הראשון בסקירת הבקשות השונות שהוגשו כי האישה עמדה פעם אחר פעם שוב ושוב ובאמצעות ב"כ שונים על העיקרון כי החיוב במס הוא בחלקים שווים. כמו כן הבהירה מפורשות כי פנתה למשרד מוביל לייעוץ בענייני מס מאחר והבינה היטב כי יהיו היבטי מיסוי שלא יכללו בהעברה בין החלקים הפרטיים והם מתייחסים להעברה ביחס לחברה. לו הייתה סבורה האישה כי אין העברה המתייחסת לחברה לא הייתה פונה לייעוץ בעניין זה. על כן מהמסיכם שהוגשו בזמן אמת עולה כי החיוב במס היה עבור על הזכויות על כלל העסקה ולא נעשתה הבחנה ביניהם. כמו כן עולה כי האישה עמדה על כך שיהיה חיוב בחלקים שווים מאחר וראתה בכך יתרון עבורה (ולא חלוקה של מוכר/ קונה, כמקובל).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cs="David"/>
          <w:sz w:val="24"/>
          <w:szCs w:val="24"/>
          <w:rtl/>
        </w:rPr>
      </w:pPr>
      <w:r>
        <w:rPr>
          <w:rFonts w:cs="David"/>
          <w:b/>
          <w:bCs/>
          <w:sz w:val="24"/>
          <w:szCs w:val="24"/>
          <w:rtl/>
        </w:rPr>
        <w:t>האישה</w:t>
      </w:r>
      <w:r>
        <w:rPr>
          <w:rFonts w:cs="David"/>
          <w:sz w:val="24"/>
          <w:szCs w:val="24"/>
          <w:rtl/>
        </w:rPr>
        <w:t xml:space="preserve"> בחקירתה נשאלה לגבי אומד דעתה בחיובי המיסים בעסקה ואומתה עם העובדה כי היא עצמה ציינה כי פנתה למשרד עו"ד לייעוץ לגבי המיסוי בעסקה בשל הבנתה כי יכלול גם את החברה, ואישרה זאת. יתרה מכך, היא ציינה כי פנתה לייעוץ מס על מנת להקטין את החיוב </w:t>
      </w:r>
      <w:r>
        <w:rPr>
          <w:rFonts w:cs="David"/>
          <w:sz w:val="24"/>
          <w:szCs w:val="24"/>
          <w:u w:val="single"/>
          <w:rtl/>
        </w:rPr>
        <w:t>לשני</w:t>
      </w:r>
      <w:r>
        <w:rPr>
          <w:rFonts w:cs="David"/>
          <w:sz w:val="24"/>
          <w:szCs w:val="24"/>
          <w:rtl/>
        </w:rPr>
        <w:t xml:space="preserve"> הצדדים:</w:t>
      </w:r>
    </w:p>
    <w:p w:rsidR="00F1605A" w:rsidRDefault="00F1605A" w:rsidP="00F1605A">
      <w:pPr>
        <w:pStyle w:val="ac"/>
        <w:spacing w:line="360" w:lineRule="auto"/>
        <w:ind w:left="567"/>
        <w:jc w:val="both"/>
        <w:rPr>
          <w:rFonts w:cs="David"/>
          <w:b/>
          <w:bCs/>
          <w:sz w:val="24"/>
          <w:szCs w:val="24"/>
        </w:rPr>
      </w:pPr>
      <w:r>
        <w:rPr>
          <w:rFonts w:cs="David"/>
          <w:b/>
          <w:bCs/>
          <w:sz w:val="24"/>
          <w:szCs w:val="24"/>
          <w:rtl/>
        </w:rPr>
        <w:lastRenderedPageBreak/>
        <w:t xml:space="preserve">"עו"ד זיסמן: טוב, תראי, פה, הנה אני גם סימנתי את זה, בסדר שיהיה לך ברור. זאת בקשה דחופה לעיכוב ביצוע שאת הגשת, את המבקשת, זאת בקשה 44, בסדר, ועכשיו פה, זה נקודה בתוך סעיף 5, נקודה מספר 7, את כותבת פה, הנה זה מסומן לך בזה, 'החלטת בית המשפט הנכבד ניתנה מבלי שכונס הנכסים יציג נתונים בסיסיים בדבר ההשלכות המיסויות השונות של מכירת מתחם </w:t>
      </w:r>
      <w:r w:rsidR="000B4ED6">
        <w:rPr>
          <w:rFonts w:cs="David"/>
          <w:b/>
          <w:bCs/>
          <w:sz w:val="24"/>
          <w:szCs w:val="24"/>
          <w:rtl/>
        </w:rPr>
        <w:t>***</w:t>
      </w:r>
      <w:r>
        <w:rPr>
          <w:rFonts w:cs="David"/>
          <w:b/>
          <w:bCs/>
          <w:sz w:val="24"/>
          <w:szCs w:val="24"/>
          <w:rtl/>
        </w:rPr>
        <w:t xml:space="preserve"> בהתייחס לעובדה שמדובר בנכס שרק חלקו רשום על שם חברה בע"מ וחלקו אחר, בניגוד לטענת הכונס, ניתן להעברה אגב גירושין, ולא מעלה שאלות מיסויות' קראת איתי? עכשיו, מבלי שכונס הנכסים יציג נתונים בסיסיים בדבר ההשלכות המיסויות, זה אומר, שאת יודעת שיהיו השלכות מיסויות את רק טענת כלפי הכונס שהוא לא הציג לך אותם, זה נכון?</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t>לא מבינה את השאלה שלך.</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עו"ד זיסמן: טוב. אני מפנה אותך שוב למוצג 6, שהוא גם כן משהו שאת הגשת, בקשה 58, בסדר? בסעיף 14 לבקשה הזאת, כאן, את טוענת שם שאת התייעצת עם מחלקת המיסים של משרד הרצוג פוקס נאמן, בסוגריים למזער החיוב במיסים ככל שיהיו לצדדים שניהם, ואז אני אומרת, שבעצם אפשר להגיד בביטחון, שלא רק שאת ידעת שיהיו השלכות מיסויות כי את קבעת כנגד הכונס שהוא לא הציג לך אותם, אלא גם הלכת להתייעץ בעניין ההשלכות המיסויות האלה.</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t>קודם כל, מה שאת אומרת, זה את אומרת, לא אני.</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עו"ד זיסמן: אני מקריאה מסעיף 14 שלך.</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r>
      <w:r>
        <w:rPr>
          <w:rFonts w:cs="David"/>
          <w:b/>
          <w:bCs/>
          <w:sz w:val="24"/>
          <w:szCs w:val="24"/>
          <w:u w:val="single"/>
          <w:rtl/>
        </w:rPr>
        <w:t>אני בסעיף 14 כותבת לאחר שהמשיבה התייעצה עם מחלקת המיסים של משרד הרצוג פוקס נאמן, למזער החיוב במיסים ככל שיהיו</w:t>
      </w:r>
      <w:r>
        <w:rPr>
          <w:rFonts w:cs="David"/>
          <w:b/>
          <w:bCs/>
          <w:sz w:val="24"/>
          <w:szCs w:val="24"/>
          <w:rtl/>
        </w:rPr>
        <w:t>.</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עו"ד זיסמן: 100 אחוז,</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r>
      <w:r>
        <w:rPr>
          <w:rFonts w:cs="David"/>
          <w:b/>
          <w:bCs/>
          <w:sz w:val="24"/>
          <w:szCs w:val="24"/>
          <w:u w:val="single"/>
          <w:rtl/>
        </w:rPr>
        <w:t>לצדדים שניהם</w:t>
      </w:r>
      <w:r>
        <w:rPr>
          <w:rFonts w:cs="David"/>
          <w:b/>
          <w:bCs/>
          <w:sz w:val="24"/>
          <w:szCs w:val="24"/>
          <w:rtl/>
        </w:rPr>
        <w:t>.</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w:t>
      </w:r>
    </w:p>
    <w:p w:rsidR="00F1605A" w:rsidRDefault="00F1605A" w:rsidP="00F1605A">
      <w:pPr>
        <w:pStyle w:val="ac"/>
        <w:spacing w:line="360" w:lineRule="auto"/>
        <w:ind w:left="567"/>
        <w:jc w:val="both"/>
        <w:rPr>
          <w:rFonts w:cs="David"/>
          <w:b/>
          <w:bCs/>
          <w:sz w:val="24"/>
          <w:szCs w:val="24"/>
          <w:rtl/>
        </w:rPr>
      </w:pPr>
      <w:r>
        <w:rPr>
          <w:rFonts w:cs="David"/>
          <w:b/>
          <w:bCs/>
          <w:sz w:val="24"/>
          <w:szCs w:val="24"/>
          <w:rtl/>
        </w:rPr>
        <w:t>עו"ד זיסמן: [..] השאלה שלי אבל היא שאלה מאוד פשוטה. את הלכת להתייעץ בעניין המיסים, נכון או לא נכון?</w:t>
      </w:r>
    </w:p>
    <w:p w:rsidR="00F1605A" w:rsidRDefault="00F1605A" w:rsidP="00F1605A">
      <w:pPr>
        <w:pStyle w:val="ac"/>
        <w:spacing w:line="360" w:lineRule="auto"/>
        <w:ind w:left="567"/>
        <w:jc w:val="both"/>
        <w:rPr>
          <w:rFonts w:cs="David"/>
          <w:b/>
          <w:bCs/>
          <w:sz w:val="24"/>
          <w:szCs w:val="24"/>
        </w:rPr>
      </w:pPr>
      <w:r>
        <w:rPr>
          <w:rFonts w:cs="David"/>
          <w:b/>
          <w:bCs/>
          <w:sz w:val="24"/>
          <w:szCs w:val="24"/>
          <w:rtl/>
        </w:rPr>
        <w:t xml:space="preserve">גב' </w:t>
      </w:r>
      <w:r w:rsidR="000B4ED6">
        <w:rPr>
          <w:rFonts w:cs="David"/>
          <w:b/>
          <w:bCs/>
          <w:sz w:val="24"/>
          <w:szCs w:val="24"/>
          <w:rtl/>
        </w:rPr>
        <w:t>***</w:t>
      </w:r>
      <w:r>
        <w:rPr>
          <w:rFonts w:cs="David"/>
          <w:b/>
          <w:bCs/>
          <w:sz w:val="24"/>
          <w:szCs w:val="24"/>
          <w:rtl/>
        </w:rPr>
        <w:t xml:space="preserve">: </w:t>
      </w:r>
      <w:r>
        <w:rPr>
          <w:rFonts w:cs="David"/>
          <w:b/>
          <w:bCs/>
          <w:sz w:val="24"/>
          <w:szCs w:val="24"/>
          <w:rtl/>
        </w:rPr>
        <w:tab/>
        <w:t xml:space="preserve">ברור." </w:t>
      </w:r>
      <w:r>
        <w:rPr>
          <w:rFonts w:cs="David"/>
          <w:sz w:val="24"/>
          <w:szCs w:val="24"/>
          <w:rtl/>
        </w:rPr>
        <w:t>(ההדגשות בקו – הוספו).</w:t>
      </w:r>
    </w:p>
    <w:p w:rsidR="00F1605A" w:rsidRDefault="00F1605A" w:rsidP="00F1605A">
      <w:pPr>
        <w:pStyle w:val="ac"/>
        <w:spacing w:line="360" w:lineRule="auto"/>
        <w:ind w:left="567"/>
        <w:jc w:val="both"/>
        <w:rPr>
          <w:rFonts w:cs="David"/>
          <w:sz w:val="24"/>
          <w:szCs w:val="24"/>
        </w:rPr>
      </w:pPr>
      <w:r>
        <w:rPr>
          <w:rFonts w:cs="David"/>
          <w:sz w:val="24"/>
          <w:szCs w:val="24"/>
          <w:rtl/>
        </w:rPr>
        <w:t>(ראו: פרוט' מיום 30.1.23, עמ' 81 שורות 22-32, עמ' 82 שורות 1-12, שורות 21-23).</w:t>
      </w:r>
    </w:p>
    <w:p w:rsidR="00F1605A" w:rsidRDefault="00F1605A" w:rsidP="00F1605A">
      <w:pPr>
        <w:pStyle w:val="ac"/>
        <w:spacing w:line="360" w:lineRule="auto"/>
        <w:ind w:left="567"/>
        <w:jc w:val="both"/>
        <w:rPr>
          <w:rFonts w:cs="David"/>
          <w:sz w:val="24"/>
          <w:szCs w:val="24"/>
          <w:rtl/>
        </w:rPr>
      </w:pPr>
    </w:p>
    <w:p w:rsidR="00F1605A" w:rsidRDefault="00F1605A" w:rsidP="00F1605A">
      <w:pPr>
        <w:pStyle w:val="ac"/>
        <w:numPr>
          <w:ilvl w:val="0"/>
          <w:numId w:val="1"/>
        </w:numPr>
        <w:spacing w:line="360" w:lineRule="auto"/>
        <w:jc w:val="both"/>
        <w:rPr>
          <w:rFonts w:cs="David"/>
          <w:sz w:val="24"/>
          <w:szCs w:val="24"/>
        </w:rPr>
      </w:pPr>
      <w:r>
        <w:rPr>
          <w:rFonts w:cs="David"/>
          <w:sz w:val="24"/>
          <w:szCs w:val="24"/>
          <w:rtl/>
        </w:rPr>
        <w:t xml:space="preserve">בתשובה זו אישרה האישה כי הבינה כי העסקה תכלול חיובים במס, ופנתה לשם כך לייעוץ מתאים על מנת להקטין את החיוב </w:t>
      </w:r>
      <w:r>
        <w:rPr>
          <w:rFonts w:cs="David"/>
          <w:sz w:val="24"/>
          <w:szCs w:val="24"/>
          <w:u w:val="single"/>
          <w:rtl/>
        </w:rPr>
        <w:t>לשני</w:t>
      </w:r>
      <w:r>
        <w:rPr>
          <w:rFonts w:cs="David"/>
          <w:sz w:val="24"/>
          <w:szCs w:val="24"/>
          <w:rtl/>
        </w:rPr>
        <w:t xml:space="preserve"> הצדדים.</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לא מצאתי נימוק לגופו של עניין מדוע על האיש לשאת לבדו במיסוי של כל העסקה לרבות מכירת זכויות החברה במקרקעין לאיש. האישה מצד אחד טוענת, ובצדק עובדתי ומשפטי, כי הזכויות בחברה משותפות. אולם מהצד השני כאשר לצורך ביצוע המכירה של מתחם </w:t>
      </w:r>
      <w:r w:rsidR="000B4ED6">
        <w:rPr>
          <w:rFonts w:ascii="David" w:hAnsi="David" w:cs="David"/>
          <w:sz w:val="24"/>
          <w:szCs w:val="24"/>
          <w:rtl/>
        </w:rPr>
        <w:t>***</w:t>
      </w:r>
      <w:r>
        <w:rPr>
          <w:rFonts w:ascii="David" w:hAnsi="David" w:cs="David"/>
          <w:sz w:val="24"/>
          <w:szCs w:val="24"/>
          <w:rtl/>
        </w:rPr>
        <w:t xml:space="preserve"> הכולל את מכירת זכויות החברה לאיש, כאשר זכויות החברה כוללות גם את זכויותיה, היא מתכחשת לזכויות אלה וטוענת כי אין לחייב אותה במס.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מקום לקבלת עמדה זו כלל וכלל. לאישה מגיעות זכויות כדין בחברה. מבוצעת כעת עסקה למכירת זכויות החברה במקרקעין לאיש דבר שמהווה חלק מאיזון המשאבים בחברה. מדובר בנכס השייך לצדדים בחלקים שווים, בעסקה שקשורה ישירות לאיזון המשאבים ביניהם ועל כן החבות הינה חבות הדדית.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בכל הנוגע לסוגיית המיסוי עמדתה של האישה הייתה עקבית וברורה – חלוקה שווה בין הצדדים של שיעור המיסוי. ויודגש - האישה לא הציגה תנאי או הביעה את אומד דעתה כי היא מסכימה לעסקה רק אם לא יהיה חיוב במס.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יתרה מכך, ב"כ השונים הביעו את אותה עמדה – חלוקה בין הצדדים בחלקים שווים של כל סוגי המיסוי שיחולו בעסקה.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פנתה לייעוץ לעניין המיסוי בדיוק כי הבינה כי העסקה אינה עסקה "פשוטה" שכוללת העברה אגב גירושין של דירת מגורים, והבינה היטב כי יהיו היבטי מס נוספים הנוגעים לכך שחלק מהמקרקעין רשום על שם החברה.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עולה כי האישה הבינה כי יתעורר היבט המיסוי ביחס לחברה מאחר שנדרש להביא למצב שבו כל הזכויות במתחם </w:t>
      </w:r>
      <w:r w:rsidR="000B4ED6">
        <w:rPr>
          <w:rFonts w:ascii="David" w:hAnsi="David" w:cs="David"/>
          <w:sz w:val="24"/>
          <w:szCs w:val="24"/>
          <w:rtl/>
        </w:rPr>
        <w:t>***</w:t>
      </w:r>
      <w:r>
        <w:rPr>
          <w:rFonts w:ascii="David" w:hAnsi="David" w:cs="David"/>
          <w:sz w:val="24"/>
          <w:szCs w:val="24"/>
          <w:rtl/>
        </w:rPr>
        <w:t xml:space="preserve"> הן של האיש. זהו איזון המשאבים המהותי במתחם </w:t>
      </w:r>
      <w:r w:rsidR="000B4ED6">
        <w:rPr>
          <w:rFonts w:ascii="David" w:hAnsi="David" w:cs="David"/>
          <w:sz w:val="24"/>
          <w:szCs w:val="24"/>
          <w:rtl/>
        </w:rPr>
        <w:t>***</w:t>
      </w:r>
      <w:r>
        <w:rPr>
          <w:rFonts w:ascii="David" w:hAnsi="David" w:cs="David"/>
          <w:sz w:val="24"/>
          <w:szCs w:val="24"/>
          <w:rtl/>
        </w:rPr>
        <w:t xml:space="preserve"> וזה גם פירוק השיתוף המהותי והנדרש על מנת לסיים את איזון המשאבים ופירוק השיתוף במתחם בין הצדדים. האישה לא הייתה מסכימה לכל תוצאה אחרת שבה פירוק השיתוף במקרקעין לא כולל את החברה ולא מקנה לה מחצית משווי המקרקעין בכל המתחם. היא הבינה היטב נקודה זו, וכל חלופה אחרת לא הייתה מוסכמת על ידה ואף הייתה מקפחת את זכויותיה המגיעות לה בדין.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לא העלתה חודשים על גבי חודשים כל טענה הנוגעת להפרדה באופן המיסוי. נהפוך ב"כ השונים חזרו כולם על העיקרון שיש להורות כי יהיה חיוב במס בחלקים שווים. והרי – </w:t>
      </w:r>
      <w:r>
        <w:rPr>
          <w:rFonts w:ascii="David" w:hAnsi="David" w:cs="David"/>
          <w:b/>
          <w:bCs/>
          <w:sz w:val="24"/>
          <w:szCs w:val="24"/>
          <w:rtl/>
        </w:rPr>
        <w:t>לו הייתה סבורה האישה כי יהיה מדובר רק בהעברה אגב גירושין ללא מיסוי מדוע היה חשוב לה באמצעות ב"כ לחזור פעם אחר פעם על העיקרון כי החיוב במס יהיה בחלקים שווים? התשובה לכך כי היא ידעה היטב כי על מנת שתקבל את מלוא הזכויות המגיעות לה במתחם ייתכן ויהיה מס בשל העברת זכויות המתייחסת לחברה במתחם</w:t>
      </w:r>
      <w:r>
        <w:rPr>
          <w:rFonts w:ascii="David" w:hAnsi="David" w:cs="David"/>
          <w:sz w:val="24"/>
          <w:szCs w:val="24"/>
          <w:rtl/>
        </w:rPr>
        <w:t xml:space="preserve">.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אשר על כן התשובה לשאלה השניה הינה כי על האישה לשאת בעלות המיסים בגין העברת זכויות החברה במקרקעין לאיש. </w:t>
      </w:r>
    </w:p>
    <w:p w:rsidR="00F1605A" w:rsidRDefault="00F1605A" w:rsidP="00F1605A">
      <w:pPr>
        <w:pStyle w:val="ac"/>
        <w:rPr>
          <w:rFonts w:ascii="David" w:hAnsi="David" w:cs="David"/>
          <w:b/>
          <w:bCs/>
          <w:sz w:val="24"/>
          <w:szCs w:val="24"/>
          <w:rtl/>
        </w:rPr>
      </w:pPr>
    </w:p>
    <w:p w:rsidR="00586E5E" w:rsidRDefault="00586E5E" w:rsidP="00F1605A">
      <w:pPr>
        <w:pStyle w:val="ac"/>
        <w:rPr>
          <w:rFonts w:ascii="David" w:hAnsi="David" w:cs="David"/>
          <w:b/>
          <w:bCs/>
          <w:sz w:val="24"/>
          <w:szCs w:val="24"/>
          <w:rtl/>
        </w:rPr>
      </w:pPr>
    </w:p>
    <w:p w:rsidR="00586E5E" w:rsidRDefault="00586E5E" w:rsidP="00F1605A">
      <w:pPr>
        <w:pStyle w:val="ac"/>
        <w:rPr>
          <w:rFonts w:ascii="David" w:hAnsi="David" w:cs="David"/>
          <w:b/>
          <w:bCs/>
          <w:sz w:val="24"/>
          <w:szCs w:val="24"/>
          <w:rtl/>
        </w:rPr>
      </w:pPr>
    </w:p>
    <w:p w:rsidR="00586E5E" w:rsidRDefault="00586E5E" w:rsidP="00F1605A">
      <w:pPr>
        <w:pStyle w:val="ac"/>
        <w:rPr>
          <w:rFonts w:ascii="David" w:hAnsi="David" w:cs="David"/>
          <w:b/>
          <w:bCs/>
          <w:sz w:val="24"/>
          <w:szCs w:val="24"/>
        </w:rPr>
      </w:pPr>
    </w:p>
    <w:p w:rsidR="00F1605A" w:rsidRDefault="00F1605A" w:rsidP="00F1605A">
      <w:pPr>
        <w:spacing w:line="360" w:lineRule="auto"/>
        <w:jc w:val="both"/>
        <w:rPr>
          <w:rFonts w:ascii="David" w:hAnsi="David"/>
          <w:b/>
          <w:bCs/>
          <w:u w:val="single"/>
          <w:rtl/>
        </w:rPr>
      </w:pPr>
      <w:r>
        <w:rPr>
          <w:rFonts w:ascii="David" w:hAnsi="David"/>
          <w:b/>
          <w:bCs/>
          <w:u w:val="single"/>
          <w:rtl/>
        </w:rPr>
        <w:lastRenderedPageBreak/>
        <w:t>3). האם יש מקום להמשיך במתווה המכר הקודם או יש להורות כבקשת האישה על מכירת המתחם בשוק החופשי לכל המרבה במחיר</w:t>
      </w:r>
    </w:p>
    <w:p w:rsidR="00586E5E" w:rsidRDefault="00586E5E" w:rsidP="00F1605A">
      <w:pPr>
        <w:spacing w:line="360" w:lineRule="auto"/>
        <w:jc w:val="both"/>
        <w:rPr>
          <w:rFonts w:ascii="David" w:hAnsi="David"/>
          <w:b/>
          <w:bCs/>
          <w:u w:val="single"/>
          <w:rtl/>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כעת יש מקום לבחון אם יש מקום להמשך המתווה ואישור המכר או להורות על מכירת המתחם בשוק החופשי.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לאור כל מה שהוכח לעיל למעשה אין עילה לבטל את ההסכם ואין עילה לאפשר לאישה לחזור בה מההסכמות המפורשות וברורות שניתנו בשתי השאלות הקודמות.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לאור האמור לעיל אין מקום לביטול עסקת מתחם </w:t>
      </w:r>
      <w:r w:rsidR="000B4ED6">
        <w:rPr>
          <w:rFonts w:ascii="David" w:hAnsi="David" w:cs="David"/>
          <w:sz w:val="24"/>
          <w:szCs w:val="24"/>
          <w:rtl/>
        </w:rPr>
        <w:t>***</w:t>
      </w:r>
      <w:r>
        <w:rPr>
          <w:rFonts w:ascii="David" w:hAnsi="David" w:cs="David"/>
          <w:sz w:val="24"/>
          <w:szCs w:val="24"/>
          <w:rtl/>
        </w:rPr>
        <w:t xml:space="preserve"> כפי שקבעתי לעיל. בנסיבות הללו אין מקום להורות על הוצאת המתחם למכירה בשוק החופשי לכל המרבה במחיר.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מעבר לכך שהוכח כי אין מקום לבטל את המתווה של המכר יש שיקול נוסף: שהליכי הצדדים יסתיימו אחת ולתמיד. ברמת הקונפליקט בין הצדדים לא ניכר כי יכול להיות מצב שבו שניהם ייצאו שבעי רצון. במסגרת כינוס הנכסים אין זה מתפקידו של הכונס ואין זה מתפקידו של ביהמ"ש כי הצדדים ייצאו מרוצים מהליכי הכינוס. לא לחינם נדרש היה למנות כונס נכסים ועוד כונס חיצוני ואובייקטיבי. כאשר הדברים מתנהלים במסגרת כינוס יש לכך מחיר כלכלי ומחיר היכולת של כל צד לקבוע ולנווט מה הוא רוצה בהתעלם מההליכים המשפטיים ומהליכי הכינוס.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לכך יש להוסיף כי מתווה העסקה של מכר בין הצדדים נעשה רק לאחר פרק זמן ארוך ביותר של ניסיונות לבצע מכירה חיצונית לצדדים שלישיים שלא הניבו תוצאות. רק כאשר האיש הסכים להציע סך של 8 מיליון ₪ כשווי המתח, נסללה הדרך להתקדם.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לכך יש להוסיף דווקא בסוג סכסוך הנמשך על פני שנים על גבי שנים כי רגע שבו הליכים משפטיים צריכים להסתיים. הצדדים בחרו כל אחד מסיבותיו להמשיך ולנהל הליכים בלתי פוסקים אשר התאפיינו בהתנהלות של שינוי עמדות לאורך השנים בין שניהם באופן תכוף. יש רגע שבו יש לומר בקול צלול ורם כי על הדברים להסתיים. בכל הנוגע למתחם </w:t>
      </w:r>
      <w:r w:rsidR="000B4ED6">
        <w:rPr>
          <w:rFonts w:ascii="David" w:hAnsi="David" w:cs="David"/>
          <w:sz w:val="24"/>
          <w:szCs w:val="24"/>
          <w:rtl/>
        </w:rPr>
        <w:t>***</w:t>
      </w:r>
      <w:r>
        <w:rPr>
          <w:rFonts w:ascii="David" w:hAnsi="David" w:cs="David"/>
          <w:sz w:val="24"/>
          <w:szCs w:val="24"/>
          <w:rtl/>
        </w:rPr>
        <w:t xml:space="preserve"> – רגע זה הגיע.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יומם של שני הצדדים ניתן להם בהרחבה, ובהרחבה יתרה. הזמן, המשאבים והעלויות שהשקיעו בהליכים השונים והמשאבים השיפוטיים שנדרשו רבים מאוד. לכך יש להוסיף את הצורך בכינוס נכסים חיצוני בשל רמת הקונפליקט ביניהם.</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יצויין עוד כי כונס הנכסים פירט כי נעשו מאמצים רבים לצורך מכירת המתחם בשוק החופשי. האיש זכה ברכישה רק לאחר שהתנהלו מהלכים קודמים למכירה בשוק החופשי. לכך יש לשים סוף גם במשמעות סיום הדברים בין הצדדים.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איננה בעלת זכויות יחידה. היא עומדת על מימוש זכויותיה וטוב שכך. אולם אין היא בעלת דין יחידה. אל מול זכויותיה החשובות קיימת גם זכותו של האיש כי ברבות השנים ולאחר שהיה הסכם שאושר שתנאיו היו ידועים ולאחר ששילם גם את מלוא התמורה, כי יסתיים גם עניין זה בין הצדדים.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לא ניתן להמתין לרגע בו הדברים יהיו מוסכמים על שני הצדדים. לשם כך נדרש כינוס חיצוני ולשם כך נדרשת הכרעה בכל דבר מהותי בין שניהם. לשני הצדדים הזכות לפרק את השיתוף ולסיים ברבות השנים את החלוקה ביניהם. יש לתת לצורך לסיים את הדברים את המשקל המתאים. המשמעות של הוצאת המתחם למכירה חוזרת בשוק החופשי משמעותה דחיית איזון המשאבים ופירוק השיתוף בו לפרק זמן ארוך ובלתי ידוע. כפי שציינתי בעבר לא אחת – העתרות לכך היא לא התקדמות לסיום ופירוק השיתוף אלא הסגת מצבם של הצדדים שנים אחורה. יש לתת לכך משקל משמעותי.</w:t>
      </w:r>
    </w:p>
    <w:p w:rsidR="00F1605A" w:rsidRDefault="00F1605A" w:rsidP="00F1605A">
      <w:pPr>
        <w:pStyle w:val="ac"/>
        <w:spacing w:line="360" w:lineRule="auto"/>
        <w:ind w:left="567"/>
        <w:jc w:val="both"/>
        <w:rPr>
          <w:rFonts w:ascii="David" w:hAnsi="David" w:cs="David"/>
          <w:b/>
          <w:bCs/>
          <w:sz w:val="24"/>
          <w:szCs w:val="24"/>
        </w:rPr>
      </w:pPr>
    </w:p>
    <w:p w:rsidR="00F1605A" w:rsidRDefault="00F1605A" w:rsidP="00F1605A">
      <w:pPr>
        <w:pStyle w:val="ac"/>
        <w:numPr>
          <w:ilvl w:val="0"/>
          <w:numId w:val="1"/>
        </w:numPr>
        <w:spacing w:line="360" w:lineRule="auto"/>
        <w:jc w:val="both"/>
        <w:rPr>
          <w:rFonts w:ascii="David" w:hAnsi="David" w:cs="David"/>
          <w:b/>
          <w:bCs/>
          <w:sz w:val="24"/>
          <w:szCs w:val="24"/>
        </w:rPr>
      </w:pPr>
      <w:r>
        <w:rPr>
          <w:rFonts w:ascii="David" w:hAnsi="David" w:cs="David"/>
          <w:b/>
          <w:bCs/>
          <w:sz w:val="24"/>
          <w:szCs w:val="24"/>
          <w:rtl/>
        </w:rPr>
        <w:t xml:space="preserve">אשר על כן התשובה לשאלה השלישית הינה כי יש להורות על המשך המתווה הנוכחי ויש לדחות את בקשת האישה למכירת המתחם בשוק החופשי לכל המרבה במחיר.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u w:val="single"/>
          <w:rtl/>
        </w:rPr>
        <w:t>בקשתה החדשה של האישה כי במקום מכירה בשוק החופשי תבוצע חלוקה בעין –</w:t>
      </w:r>
      <w:r>
        <w:rPr>
          <w:rFonts w:ascii="David" w:hAnsi="David" w:cs="David"/>
          <w:sz w:val="24"/>
          <w:szCs w:val="24"/>
          <w:rtl/>
        </w:rPr>
        <w:t xml:space="preserve"> בדיון ביום 30.1.23 ובסיכומיה עתרה האישה כי במקום מכירה בשוק החופשי תתבצע חלוקה בעין של המתחם. מדובר בהרחבת חזית.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יצויין כי עוד ביום 30.1.2020 נדחתה בקשת האישה והאיש לרכישה של כל אחד מהם את המתחם, ונקבע כי המתחם יימכר בשוק החופשי. האישה הגישה בר"ע על החלטה זו (רמ"ש 61971-02-20). ביום 26.6.2020 ניתן פסק הדין בבר"ע ונקבעו בה הדברים המפורשים הבאים:</w:t>
      </w:r>
      <w:r>
        <w:rPr>
          <w:rFonts w:ascii="David" w:hAnsi="David" w:cs="David"/>
          <w:b/>
          <w:bCs/>
          <w:sz w:val="24"/>
          <w:szCs w:val="24"/>
          <w:rtl/>
        </w:rPr>
        <w:t xml:space="preserve">"2. טענת המבקשת לחלוקה בעין של מתחם </w:t>
      </w:r>
      <w:r w:rsidR="000B4ED6">
        <w:rPr>
          <w:rFonts w:ascii="David" w:hAnsi="David" w:cs="David"/>
          <w:b/>
          <w:bCs/>
          <w:sz w:val="24"/>
          <w:szCs w:val="24"/>
          <w:rtl/>
        </w:rPr>
        <w:t>***</w:t>
      </w:r>
      <w:r>
        <w:rPr>
          <w:rFonts w:ascii="David" w:hAnsi="David" w:cs="David"/>
          <w:b/>
          <w:bCs/>
          <w:sz w:val="24"/>
          <w:szCs w:val="24"/>
          <w:rtl/>
        </w:rPr>
        <w:t xml:space="preserve"> בין הצדדים (כנטען בס' 17 לבר"ע) נדחית."</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בפסק הדין של בית המשפט המחוזי השאלה שהוחזרה לבחינה האם לאשר את הסכם המכר או להורות על מכירת המתחם בשוק החופשי. לא התבקש לבחון חלופות נוספות ולא התבקש לבחון חלוקה בעין.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על כן לא היה מקום להעלות בקשה זו שוב – וכאשר בפסק הדין של ביהמ"ש המחוזי  נקבע כי יש לבחון את החלופה של מכירה בשוק החופשי (ולא חלופות אחרות), והדבר רק גרם להארכת ההליכים בטענות שכבר הוכרעו שוב. </w:t>
      </w:r>
    </w:p>
    <w:p w:rsidR="00F1605A" w:rsidRDefault="00F1605A" w:rsidP="00F1605A">
      <w:pPr>
        <w:pStyle w:val="ac"/>
        <w:spacing w:line="360" w:lineRule="auto"/>
        <w:jc w:val="both"/>
        <w:rPr>
          <w:rFonts w:ascii="David" w:hAnsi="David" w:cs="David"/>
          <w:sz w:val="24"/>
          <w:szCs w:val="24"/>
        </w:rPr>
      </w:pPr>
    </w:p>
    <w:p w:rsidR="00F1605A" w:rsidRDefault="00F1605A" w:rsidP="00F1605A">
      <w:pPr>
        <w:pStyle w:val="ac"/>
        <w:rPr>
          <w:rFonts w:ascii="David" w:hAnsi="David" w:cs="David"/>
          <w:sz w:val="24"/>
          <w:szCs w:val="24"/>
        </w:rPr>
      </w:pPr>
    </w:p>
    <w:p w:rsidR="00F1605A" w:rsidRDefault="00F1605A" w:rsidP="00F1605A">
      <w:pPr>
        <w:spacing w:line="360" w:lineRule="auto"/>
        <w:jc w:val="both"/>
        <w:rPr>
          <w:rFonts w:ascii="David" w:hAnsi="David"/>
          <w:b/>
          <w:bCs/>
          <w:u w:val="single"/>
          <w:rtl/>
        </w:rPr>
      </w:pPr>
      <w:r>
        <w:rPr>
          <w:rFonts w:ascii="David" w:hAnsi="David"/>
          <w:b/>
          <w:bCs/>
          <w:u w:val="single"/>
          <w:rtl/>
        </w:rPr>
        <w:lastRenderedPageBreak/>
        <w:t>4). סוגית ניסוח הסכם המכר</w:t>
      </w:r>
    </w:p>
    <w:p w:rsidR="00F1605A" w:rsidRDefault="00F1605A" w:rsidP="00F1605A">
      <w:pPr>
        <w:pStyle w:val="ac"/>
        <w:spacing w:line="360" w:lineRule="auto"/>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כמצוות בית המשפט המחוזי נבחן על ידי נוסח ההסכם כפי שצורף בבקשה 65 ביום 23.12.2021.</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ההסכם מנוסח בצורה מדוקדקת והוא מאוזן בין הצדדים.</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ההסכם מסדיר את מלוא העברת הזכויות של האישה במתחם </w:t>
      </w:r>
      <w:r w:rsidR="000B4ED6">
        <w:rPr>
          <w:rFonts w:ascii="David" w:hAnsi="David" w:cs="David"/>
          <w:sz w:val="24"/>
          <w:szCs w:val="24"/>
          <w:rtl/>
        </w:rPr>
        <w:t>***</w:t>
      </w:r>
      <w:r>
        <w:rPr>
          <w:rFonts w:ascii="David" w:hAnsi="David" w:cs="David"/>
          <w:sz w:val="24"/>
          <w:szCs w:val="24"/>
          <w:rtl/>
        </w:rPr>
        <w:t xml:space="preserve"> – גם בהעברת מלוא הזכויות הרשומות על שמה לשם האיש, וגם בהעברת הזכויות מהחברה לאיש.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ההסכם מגלם באופן מלא את ההסכמות שגיבשו הצדדים. ההסכם אינו נוטה לצד אחד והוא מהווה פשרה ראויה, הולמת והמגלמת את העסקה אליה הגיעו הצדדים. </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גם בבחינה של נוסח ההסכם לו היה מדובר בנוסח מול צד שלישי הרי ההסדרים בהסכם ראויים והולמים ויש בהם לתת מענה לזכויות וחובות שני הצדדים.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 xml:space="preserve">נוסח ההסכם משקף את ההסכמות בין הצדדים על כל היבטיהן: מבנה העסקה שבו זכויותיה של האישה בכל המתחם (החלק הפרטי וזכויותיה בחברה) נרכשות על ידי האיש תמורת סך של 4 מיליון ₪. ההסכם קובע את התמורה שהוצעה על ידי האיש עבור כלל הזכויות במתחם </w:t>
      </w:r>
      <w:r w:rsidR="000B4ED6">
        <w:rPr>
          <w:rFonts w:ascii="David" w:hAnsi="David" w:cs="David"/>
          <w:sz w:val="24"/>
          <w:szCs w:val="24"/>
          <w:rtl/>
        </w:rPr>
        <w:t>***</w:t>
      </w:r>
      <w:r>
        <w:rPr>
          <w:rFonts w:ascii="David" w:hAnsi="David" w:cs="David"/>
          <w:sz w:val="24"/>
          <w:szCs w:val="24"/>
          <w:rtl/>
        </w:rPr>
        <w:t xml:space="preserve"> של האישה (על כל חלקיהם). ההסכם קובע כי תהיה חלוקה שווה במיסים בין הצדדים. הסכמה זו הייתה מהותית דווקא לאישה שחפצה הייתה ששני הצדדים ישאו בכל חיובי המיסים שיכולים לחול על העסקה.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b/>
          <w:bCs/>
          <w:sz w:val="24"/>
          <w:szCs w:val="24"/>
          <w:rtl/>
        </w:rPr>
      </w:pPr>
      <w:r>
        <w:rPr>
          <w:rFonts w:ascii="David" w:hAnsi="David" w:cs="David"/>
          <w:b/>
          <w:bCs/>
          <w:sz w:val="24"/>
          <w:szCs w:val="24"/>
          <w:rtl/>
        </w:rPr>
        <w:t>אין מקום להמשך התנהלות הקשורה לניסוח ההסכם שעה שהדברים הוכרעו כעת, ואני קובעת בהקשר השאלה הרביעית כי נוסח ההסכם משקף את שנדרש ויש לקבוע כי נוסח הסכם זה הוא המחייב ותקף.</w:t>
      </w:r>
    </w:p>
    <w:p w:rsidR="00F1605A" w:rsidRDefault="00F1605A" w:rsidP="00F1605A">
      <w:pPr>
        <w:pStyle w:val="ac"/>
        <w:rPr>
          <w:rFonts w:ascii="David" w:hAnsi="David" w:cs="David"/>
          <w:sz w:val="24"/>
          <w:szCs w:val="24"/>
        </w:rPr>
      </w:pPr>
    </w:p>
    <w:p w:rsidR="00F1605A" w:rsidRDefault="00F1605A" w:rsidP="00F1605A">
      <w:pPr>
        <w:pStyle w:val="ac"/>
        <w:ind w:left="0"/>
        <w:rPr>
          <w:rFonts w:ascii="David" w:hAnsi="David" w:cs="David"/>
          <w:b/>
          <w:bCs/>
          <w:sz w:val="24"/>
          <w:szCs w:val="24"/>
          <w:u w:val="single"/>
          <w:rtl/>
        </w:rPr>
      </w:pPr>
      <w:r>
        <w:rPr>
          <w:rFonts w:ascii="David" w:hAnsi="David" w:cs="David"/>
          <w:b/>
          <w:bCs/>
          <w:sz w:val="24"/>
          <w:szCs w:val="24"/>
          <w:u w:val="single"/>
          <w:rtl/>
        </w:rPr>
        <w:t>סיכומם  של דברים</w:t>
      </w:r>
    </w:p>
    <w:p w:rsidR="00F1605A" w:rsidRDefault="00F1605A" w:rsidP="00F1605A">
      <w:pPr>
        <w:pStyle w:val="ac"/>
        <w:ind w:left="0"/>
        <w:rPr>
          <w:rFonts w:ascii="David" w:hAnsi="David" w:cs="David"/>
          <w:b/>
          <w:bCs/>
          <w:sz w:val="24"/>
          <w:szCs w:val="24"/>
          <w:u w:val="single"/>
          <w:rtl/>
        </w:rPr>
      </w:pPr>
    </w:p>
    <w:p w:rsidR="00F1605A" w:rsidRDefault="00F1605A" w:rsidP="00F1605A">
      <w:pPr>
        <w:pStyle w:val="ac"/>
        <w:numPr>
          <w:ilvl w:val="0"/>
          <w:numId w:val="1"/>
        </w:numPr>
        <w:spacing w:line="360" w:lineRule="auto"/>
        <w:jc w:val="both"/>
        <w:rPr>
          <w:rFonts w:ascii="David" w:hAnsi="David" w:cs="David"/>
          <w:sz w:val="24"/>
          <w:szCs w:val="24"/>
          <w:rtl/>
        </w:rPr>
      </w:pPr>
      <w:r>
        <w:rPr>
          <w:rFonts w:ascii="David" w:hAnsi="David" w:cs="David"/>
          <w:sz w:val="24"/>
          <w:szCs w:val="24"/>
          <w:rtl/>
        </w:rPr>
        <w:t>אשר על כן ולאחר כל זאת הסכם המכר בין הצדדים תקף. חיובי המס על ככל רכיבי העסקה: הפרטיים ובין החברה לאיש ככל שיהיו – יהיו בחלקים שווים. נוסח ההסכם שאושר הוא נוסח ראוי שאין מקום לעשות בו שינויים.</w:t>
      </w:r>
    </w:p>
    <w:p w:rsidR="00F1605A" w:rsidRDefault="00F1605A" w:rsidP="00F1605A">
      <w:pPr>
        <w:pStyle w:val="ac"/>
        <w:spacing w:line="360" w:lineRule="auto"/>
        <w:ind w:left="567"/>
        <w:jc w:val="both"/>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טרם חתימה – אין מניעה כי שני הצדדים ישתפו פעולה בדיווח המיסוי הקשור לחלק שבין החברה לאיש וינקטו בכל הליך מתאים ונדרש ולגיטימי מול רשויות המס לצורך הקטנת שיעור המס. שיתוף פעולה זה נדרש. </w:t>
      </w:r>
    </w:p>
    <w:p w:rsidR="00F1605A" w:rsidRDefault="00F1605A" w:rsidP="00F1605A">
      <w:pPr>
        <w:pStyle w:val="ac"/>
        <w:rPr>
          <w:rFonts w:ascii="David" w:hAnsi="David" w:cs="David"/>
          <w:sz w:val="24"/>
          <w:szCs w:val="24"/>
        </w:rPr>
      </w:pPr>
    </w:p>
    <w:p w:rsidR="00F1605A" w:rsidRDefault="00F1605A" w:rsidP="00F1605A">
      <w:pPr>
        <w:pStyle w:val="ac"/>
        <w:numPr>
          <w:ilvl w:val="0"/>
          <w:numId w:val="1"/>
        </w:numPr>
        <w:spacing w:line="360" w:lineRule="auto"/>
        <w:jc w:val="both"/>
        <w:rPr>
          <w:rFonts w:ascii="David" w:hAnsi="David" w:cs="David"/>
          <w:sz w:val="24"/>
          <w:szCs w:val="24"/>
          <w:u w:val="single"/>
          <w:rtl/>
        </w:rPr>
      </w:pPr>
      <w:r>
        <w:rPr>
          <w:rFonts w:ascii="David" w:hAnsi="David" w:cs="David"/>
          <w:sz w:val="24"/>
          <w:szCs w:val="24"/>
          <w:u w:val="single"/>
          <w:rtl/>
        </w:rPr>
        <w:lastRenderedPageBreak/>
        <w:t>הוצאות בקשה 77 –</w:t>
      </w:r>
      <w:r>
        <w:rPr>
          <w:rFonts w:ascii="David" w:hAnsi="David" w:cs="David"/>
          <w:sz w:val="24"/>
          <w:szCs w:val="24"/>
          <w:rtl/>
        </w:rPr>
        <w:t xml:space="preserve"> בבקשה זו התקיימו 2 דיונים נפרדים, הוגשו טענות מפורטות בכתב וכן סיכומים בכתב. המאמצים והמשאבים בבקשה זו היו רבים מאוד. על כן לאור התוצאה אליה הגעתי האיש וכונס הנכסים זכאים לפסיקת הוצאות בגין בקשה זו. האישה תישא בהוצאות האיש בבקשה זו בסך של 23,400 ₪ ובהוצאות הכונס בסך של 19,890 ₪ אשר ישולמו בתוך 30 יום, ולא – יישאו הפרשי ריבית והצמדה כדין. </w:t>
      </w:r>
    </w:p>
    <w:p w:rsidR="00F1605A" w:rsidRDefault="00F1605A" w:rsidP="00F1605A">
      <w:pPr>
        <w:pStyle w:val="ac"/>
        <w:rPr>
          <w:rFonts w:ascii="David" w:hAnsi="David" w:cs="David"/>
          <w:sz w:val="24"/>
          <w:szCs w:val="24"/>
          <w:u w:val="single"/>
        </w:rPr>
      </w:pPr>
    </w:p>
    <w:p w:rsidR="00F1605A" w:rsidRDefault="00F1605A" w:rsidP="00F1605A">
      <w:pPr>
        <w:pStyle w:val="ac"/>
        <w:numPr>
          <w:ilvl w:val="0"/>
          <w:numId w:val="1"/>
        </w:numPr>
        <w:spacing w:line="360" w:lineRule="auto"/>
        <w:jc w:val="both"/>
        <w:rPr>
          <w:rFonts w:ascii="David" w:hAnsi="David" w:cs="David"/>
          <w:sz w:val="24"/>
          <w:szCs w:val="24"/>
          <w:u w:val="single"/>
          <w:rtl/>
        </w:rPr>
      </w:pPr>
      <w:r>
        <w:rPr>
          <w:rFonts w:ascii="David" w:hAnsi="David" w:cs="David"/>
          <w:sz w:val="24"/>
          <w:szCs w:val="24"/>
          <w:u w:val="single"/>
          <w:rtl/>
        </w:rPr>
        <w:t>המזכירות</w:t>
      </w:r>
      <w:r>
        <w:rPr>
          <w:rFonts w:ascii="David" w:hAnsi="David" w:cs="David"/>
          <w:sz w:val="24"/>
          <w:szCs w:val="24"/>
          <w:rtl/>
        </w:rPr>
        <w:t xml:space="preserve"> תסגור את בקשה 77.</w:t>
      </w: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ד' תמוז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23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11367">
      <w:pPr>
        <w:spacing w:line="360" w:lineRule="auto"/>
        <w:ind w:left="3600" w:firstLine="720"/>
        <w:jc w:val="both"/>
      </w:pPr>
      <w:sdt>
        <w:sdtPr>
          <w:rPr>
            <w:rtl/>
          </w:rPr>
          <w:alias w:val="MergeField"/>
          <w:tag w:val="1237"/>
          <w:id w:val="1398090667"/>
        </w:sdtPr>
        <w:sdtEndPr/>
        <w:sdtContent>
          <w:r w:rsidR="00365777">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9"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7C1DF1">
      <w:pPr>
        <w:spacing w:line="360" w:lineRule="auto"/>
        <w:jc w:val="both"/>
        <w:rPr>
          <w:rFonts w:ascii="Arial" w:hAnsi="Arial"/>
          <w:noProof w:val="0"/>
          <w:rtl/>
        </w:rPr>
      </w:pPr>
      <w:r>
        <w:rPr>
          <w:rFonts w:ascii="Arial" w:hAnsi="Arial" w:hint="cs"/>
          <w:noProof w:val="0"/>
          <w:rtl/>
        </w:rPr>
        <w:t>ההחלטה הותרה לפרסום ללא כל פרט מזהה ביום 20.9.23.</w:t>
      </w:r>
    </w:p>
    <w:sectPr w:rsidR="002914D6" w:rsidSect="002914D6">
      <w:headerReference w:type="even" r:id="rId30"/>
      <w:headerReference w:type="default" r:id="rId31"/>
      <w:footerReference w:type="even" r:id="rId32"/>
      <w:footerReference w:type="default" r:id="rId33"/>
      <w:headerReference w:type="first" r:id="rId34"/>
      <w:footerReference w:type="first" r:id="rId3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367" w:rsidRDefault="00F11367">
      <w:r>
        <w:separator/>
      </w:r>
    </w:p>
  </w:endnote>
  <w:endnote w:type="continuationSeparator" w:id="0">
    <w:p w:rsidR="00F11367" w:rsidRDefault="00F1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609" w:rsidRDefault="00F1560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1560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15609">
      <w:rPr>
        <w:rStyle w:val="ab"/>
        <w:rtl/>
      </w:rPr>
      <w:t>26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609" w:rsidRDefault="00F156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367" w:rsidRDefault="00F11367">
      <w:r>
        <w:separator/>
      </w:r>
    </w:p>
  </w:footnote>
  <w:footnote w:type="continuationSeparator" w:id="0">
    <w:p w:rsidR="00F11367" w:rsidRDefault="00F11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609" w:rsidRDefault="00F156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11367" w:rsidP="003064B2">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58926-02-17</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3064B2">
                <w:rPr>
                  <w:rFonts w:hint="cs"/>
                  <w:b/>
                  <w:bCs/>
                  <w:noProof w:val="0"/>
                  <w:sz w:val="26"/>
                  <w:szCs w:val="26"/>
                  <w:rtl/>
                </w:rPr>
                <w:t>האיש</w:t>
              </w:r>
              <w:r w:rsidR="003064B2">
                <w:rPr>
                  <w:b/>
                  <w:bCs/>
                  <w:noProof w:val="0"/>
                  <w:sz w:val="26"/>
                  <w:szCs w:val="26"/>
                  <w:rtl/>
                </w:rPr>
                <w:t xml:space="preserve"> נ' </w:t>
              </w:r>
              <w:r w:rsidR="003064B2">
                <w:rPr>
                  <w:rFonts w:hint="cs"/>
                  <w:b/>
                  <w:bCs/>
                  <w:noProof w:val="0"/>
                  <w:sz w:val="26"/>
                  <w:szCs w:val="26"/>
                  <w:rtl/>
                </w:rPr>
                <w:t xml:space="preserve">האישה </w:t>
              </w:r>
              <w:r w:rsidR="003064B2">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609" w:rsidRDefault="00F1560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C1CBD"/>
    <w:multiLevelType w:val="hybridMultilevel"/>
    <w:tmpl w:val="F35C9D46"/>
    <w:lvl w:ilvl="0" w:tplc="754C4C10">
      <w:start w:val="1"/>
      <w:numFmt w:val="decimal"/>
      <w:lvlText w:val="%1."/>
      <w:lvlJc w:val="left"/>
      <w:pPr>
        <w:ind w:left="567" w:hanging="567"/>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163846"/>
    <w:multiLevelType w:val="hybridMultilevel"/>
    <w:tmpl w:val="0DEA2250"/>
    <w:lvl w:ilvl="0" w:tplc="04090009">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78827248"/>
    <w:multiLevelType w:val="hybridMultilevel"/>
    <w:tmpl w:val="1AFC8ED0"/>
    <w:lvl w:ilvl="0" w:tplc="04090009">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B4ED6"/>
    <w:rsid w:val="000D0C42"/>
    <w:rsid w:val="0014058F"/>
    <w:rsid w:val="00142B93"/>
    <w:rsid w:val="001E0EB7"/>
    <w:rsid w:val="00242BA8"/>
    <w:rsid w:val="00255C51"/>
    <w:rsid w:val="002914D6"/>
    <w:rsid w:val="002F5307"/>
    <w:rsid w:val="003064B2"/>
    <w:rsid w:val="00365777"/>
    <w:rsid w:val="0037255E"/>
    <w:rsid w:val="003C0304"/>
    <w:rsid w:val="003C2B44"/>
    <w:rsid w:val="003C669B"/>
    <w:rsid w:val="004045F4"/>
    <w:rsid w:val="004C1C22"/>
    <w:rsid w:val="00503A57"/>
    <w:rsid w:val="00530E94"/>
    <w:rsid w:val="00586E5E"/>
    <w:rsid w:val="005D0781"/>
    <w:rsid w:val="005D534B"/>
    <w:rsid w:val="006B3EC6"/>
    <w:rsid w:val="00717100"/>
    <w:rsid w:val="00752E5F"/>
    <w:rsid w:val="00790F63"/>
    <w:rsid w:val="007C1DF1"/>
    <w:rsid w:val="00822190"/>
    <w:rsid w:val="00822AA5"/>
    <w:rsid w:val="008C0633"/>
    <w:rsid w:val="00941B0F"/>
    <w:rsid w:val="00946045"/>
    <w:rsid w:val="00A54660"/>
    <w:rsid w:val="00A7661B"/>
    <w:rsid w:val="00AE0BD3"/>
    <w:rsid w:val="00B12163"/>
    <w:rsid w:val="00B31305"/>
    <w:rsid w:val="00BE5DDA"/>
    <w:rsid w:val="00C226D6"/>
    <w:rsid w:val="00C85AC6"/>
    <w:rsid w:val="00CE7F78"/>
    <w:rsid w:val="00D446EE"/>
    <w:rsid w:val="00EC08AF"/>
    <w:rsid w:val="00F11367"/>
    <w:rsid w:val="00F11FFE"/>
    <w:rsid w:val="00F15609"/>
    <w:rsid w:val="00F1605A"/>
    <w:rsid w:val="00F50E07"/>
    <w:rsid w:val="00F54C6E"/>
    <w:rsid w:val="00F92D05"/>
    <w:rsid w:val="00FF09E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F1605A"/>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d">
    <w:name w:val="תואר תו"/>
    <w:link w:val="ae"/>
    <w:locked/>
    <w:rsid w:val="00F1605A"/>
    <w:rPr>
      <w:b/>
      <w:bCs/>
      <w:szCs w:val="28"/>
      <w:u w:val="single"/>
      <w:shd w:val="pct20" w:color="auto" w:fill="FFFFFF"/>
      <w:lang w:eastAsia="he-IL"/>
    </w:rPr>
  </w:style>
  <w:style w:type="paragraph" w:customStyle="1" w:styleId="ae">
    <w:name w:val="תואר"/>
    <w:basedOn w:val="a"/>
    <w:link w:val="ad"/>
    <w:qFormat/>
    <w:rsid w:val="00F1605A"/>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2737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5C764-C6AF-4274-BA38-14A6EA6D0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6734</Words>
  <Characters>33670</Characters>
  <Application>Microsoft Office Word</Application>
  <DocSecurity>0</DocSecurity>
  <Lines>280</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2023-10-29T06:48:00Z</dcterms:created>
  <dcterms:modified xsi:type="dcterms:W3CDTF">2023-10-29T06:48:00Z</dcterms:modified>
</cp:coreProperties>
</file>